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EBE3" w14:textId="7CE6FF42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2501D4">
        <w:t>XXXI/281/21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6811DD53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10410E">
        <w:t>22 marca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577E40A8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941583">
        <w:t xml:space="preserve"> z późn. zm.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>(Dz. U. z 20</w:t>
      </w:r>
      <w:r w:rsidR="00933037">
        <w:t>21</w:t>
      </w:r>
      <w:r w:rsidR="00286745">
        <w:t xml:space="preserve">r., poz. </w:t>
      </w:r>
      <w:r w:rsidR="00933037">
        <w:t>305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3D66C530" w14:textId="77777777" w:rsidR="00762FDD" w:rsidRDefault="00762FDD" w:rsidP="000C1BF7">
      <w:pPr>
        <w:numPr>
          <w:ilvl w:val="0"/>
          <w:numId w:val="1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2AA79E4D" w14:textId="77777777" w:rsidR="00762FDD" w:rsidRDefault="00762FDD" w:rsidP="00762FDD">
      <w:pPr>
        <w:ind w:left="480"/>
      </w:pPr>
    </w:p>
    <w:p w14:paraId="494069FF" w14:textId="362F97A6" w:rsidR="00941583" w:rsidRPr="00302109" w:rsidRDefault="00762FDD" w:rsidP="00941583">
      <w:pPr>
        <w:ind w:left="540" w:hanging="540"/>
      </w:pPr>
      <w:r>
        <w:rPr>
          <w:b/>
          <w:bCs/>
        </w:rPr>
        <w:tab/>
      </w:r>
      <w:r w:rsidR="00941583" w:rsidRPr="00302109">
        <w:rPr>
          <w:b/>
          <w:bCs/>
        </w:rPr>
        <w:t xml:space="preserve">§ 1.1. </w:t>
      </w:r>
      <w:r w:rsidR="00941583" w:rsidRPr="00302109">
        <w:t xml:space="preserve">Ustala się dochody budżetu gminy na rok 2021 w wysokości </w:t>
      </w:r>
      <w:r w:rsidR="00C15E2F">
        <w:t>71.835.167,35</w:t>
      </w:r>
      <w:r w:rsidR="00941583" w:rsidRPr="00302109">
        <w:t xml:space="preserve"> zł, z tego:</w:t>
      </w:r>
    </w:p>
    <w:p w14:paraId="472F4031" w14:textId="203FF365" w:rsidR="00941583" w:rsidRPr="00302109" w:rsidRDefault="00941583" w:rsidP="00941583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C15E2F">
        <w:rPr>
          <w:bCs/>
        </w:rPr>
        <w:t>51.995.014,15</w:t>
      </w:r>
      <w:r w:rsidRPr="00302109">
        <w:rPr>
          <w:bCs/>
        </w:rPr>
        <w:t xml:space="preserve"> zł</w:t>
      </w:r>
    </w:p>
    <w:p w14:paraId="7ABE7F80" w14:textId="43C681BF" w:rsidR="00941583" w:rsidRPr="00302109" w:rsidRDefault="00941583" w:rsidP="00941583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10410E">
        <w:rPr>
          <w:bCs/>
        </w:rPr>
        <w:t>19.840.153,20</w:t>
      </w:r>
      <w:r w:rsidRPr="00302109">
        <w:rPr>
          <w:bCs/>
        </w:rPr>
        <w:t xml:space="preserve"> zł</w:t>
      </w:r>
    </w:p>
    <w:p w14:paraId="792E3A52" w14:textId="77777777" w:rsidR="00941583" w:rsidRPr="00302109" w:rsidRDefault="00941583" w:rsidP="00941583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7D80607C" w14:textId="77777777" w:rsidR="00941583" w:rsidRPr="00302109" w:rsidRDefault="00941583" w:rsidP="00941583">
      <w:pPr>
        <w:ind w:left="540" w:hanging="540"/>
      </w:pPr>
      <w:r w:rsidRPr="00302109">
        <w:t xml:space="preserve">      </w:t>
      </w:r>
    </w:p>
    <w:p w14:paraId="41026943" w14:textId="77777777" w:rsidR="00941583" w:rsidRPr="00302109" w:rsidRDefault="00941583" w:rsidP="00941583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148CFEB1" w14:textId="7E4E9E4F" w:rsidR="00941583" w:rsidRPr="00302109" w:rsidRDefault="00941583" w:rsidP="00941583">
      <w:pPr>
        <w:numPr>
          <w:ilvl w:val="0"/>
          <w:numId w:val="2"/>
        </w:numPr>
        <w:jc w:val="both"/>
      </w:pPr>
      <w:r w:rsidRPr="00302109">
        <w:t xml:space="preserve">dochody własne   </w:t>
      </w:r>
      <w:r w:rsidR="007D005B">
        <w:t xml:space="preserve">                                        </w:t>
      </w:r>
      <w:r w:rsidR="00C15E2F">
        <w:t>23.149.984,02</w:t>
      </w:r>
      <w:r w:rsidRPr="00302109">
        <w:t xml:space="preserve"> zł</w:t>
      </w:r>
    </w:p>
    <w:p w14:paraId="00138D7E" w14:textId="761C3776" w:rsidR="00941583" w:rsidRPr="00302109" w:rsidRDefault="00941583" w:rsidP="00941583">
      <w:pPr>
        <w:numPr>
          <w:ilvl w:val="0"/>
          <w:numId w:val="2"/>
        </w:numPr>
        <w:jc w:val="both"/>
      </w:pPr>
      <w:r w:rsidRPr="00302109">
        <w:t xml:space="preserve">subwencje            </w:t>
      </w:r>
      <w:r w:rsidR="007D005B">
        <w:t xml:space="preserve">                                        </w:t>
      </w:r>
      <w:r w:rsidR="0010410E">
        <w:t>12.619.493</w:t>
      </w:r>
      <w:r w:rsidRPr="00302109">
        <w:t>,00 zł</w:t>
      </w:r>
    </w:p>
    <w:p w14:paraId="0927CF4D" w14:textId="07824D35" w:rsidR="00941583" w:rsidRPr="00302109" w:rsidRDefault="00941583" w:rsidP="00941583">
      <w:pPr>
        <w:numPr>
          <w:ilvl w:val="0"/>
          <w:numId w:val="2"/>
        </w:numPr>
        <w:jc w:val="both"/>
      </w:pPr>
      <w:r w:rsidRPr="00302109">
        <w:t>dotacje</w:t>
      </w:r>
      <w:r w:rsidR="007D005B">
        <w:t xml:space="preserve"> i inne środki bezzwrotne</w:t>
      </w:r>
      <w:r w:rsidRPr="00302109">
        <w:t xml:space="preserve">                 </w:t>
      </w:r>
      <w:r w:rsidR="00C15E2F">
        <w:t>36.065.690,33</w:t>
      </w:r>
      <w:r w:rsidRPr="00302109">
        <w:t xml:space="preserve"> zł,</w:t>
      </w:r>
    </w:p>
    <w:p w14:paraId="224C39C3" w14:textId="27D49726" w:rsidR="00762FDD" w:rsidRPr="00D3069D" w:rsidRDefault="00941583" w:rsidP="00941583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 w:rsidR="0010410E">
        <w:t>14.429.139,38</w:t>
      </w:r>
      <w:r w:rsidRPr="00302109">
        <w:t xml:space="preserve"> zł.</w:t>
      </w:r>
      <w:r w:rsidR="00762FDD">
        <w:t>”</w:t>
      </w:r>
    </w:p>
    <w:p w14:paraId="6150BAA4" w14:textId="77777777" w:rsidR="00762FDD" w:rsidRDefault="00762FDD" w:rsidP="00762FDD">
      <w:pPr>
        <w:ind w:left="360"/>
        <w:jc w:val="both"/>
      </w:pPr>
    </w:p>
    <w:p w14:paraId="71150662" w14:textId="77777777" w:rsidR="00762FDD" w:rsidRDefault="00762FDD" w:rsidP="00762FDD">
      <w:r>
        <w:t xml:space="preserve">  - zgodnie z załącznikiem nr 1 do niniejszej uchwały;</w:t>
      </w:r>
    </w:p>
    <w:p w14:paraId="62BB1022" w14:textId="77777777" w:rsidR="00762FDD" w:rsidRPr="00D3069D" w:rsidRDefault="00762FDD" w:rsidP="006C7676">
      <w:pPr>
        <w:ind w:left="540" w:hanging="540"/>
      </w:pPr>
    </w:p>
    <w:p w14:paraId="4AF7C998" w14:textId="77777777" w:rsidR="00B277B4" w:rsidRPr="00D01993" w:rsidRDefault="00B277B4" w:rsidP="000C1BF7">
      <w:pPr>
        <w:numPr>
          <w:ilvl w:val="0"/>
          <w:numId w:val="1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3137F78F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C15E2F">
        <w:t>78.</w:t>
      </w:r>
      <w:r w:rsidR="003274E0">
        <w:t>393</w:t>
      </w:r>
      <w:r w:rsidR="00C15E2F">
        <w:t>.904,66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252ABB2A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C15E2F">
        <w:t>50.</w:t>
      </w:r>
      <w:r w:rsidR="00B53B8A">
        <w:t>619</w:t>
      </w:r>
      <w:r w:rsidR="00C15E2F">
        <w:t>.443,81</w:t>
      </w:r>
      <w:r w:rsidRPr="00302109">
        <w:t xml:space="preserve"> zł, w tym na:  </w:t>
      </w:r>
    </w:p>
    <w:p w14:paraId="3A45933C" w14:textId="65602EED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B81DE8">
        <w:t>18.652.768,18</w:t>
      </w:r>
      <w:r w:rsidRPr="00302109">
        <w:t xml:space="preserve"> zł</w:t>
      </w:r>
    </w:p>
    <w:p w14:paraId="1A2E4875" w14:textId="38D08E1E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C15E2F">
        <w:t>18.670.760,13</w:t>
      </w:r>
      <w:r w:rsidRPr="00302109">
        <w:t xml:space="preserve"> zł</w:t>
      </w:r>
    </w:p>
    <w:p w14:paraId="7C9E5F68" w14:textId="04D49AA6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BD5F1D">
        <w:t>2.</w:t>
      </w:r>
      <w:r w:rsidR="00E303D9">
        <w:t>2</w:t>
      </w:r>
      <w:r w:rsidR="00B53B8A">
        <w:t>6</w:t>
      </w:r>
      <w:r w:rsidR="00E303D9">
        <w:t>5</w:t>
      </w:r>
      <w:r w:rsidR="00BD5F1D">
        <w:t>.213,77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B20D3F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0C8434EE" w:rsidR="00941583" w:rsidRPr="00302109" w:rsidRDefault="00E303D9" w:rsidP="00B20D3F">
            <w:pPr>
              <w:jc w:val="right"/>
            </w:pPr>
            <w:r>
              <w:t>971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B20D3F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B20D3F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B20D3F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77777777" w:rsidR="00941583" w:rsidRPr="00302109" w:rsidRDefault="00941583" w:rsidP="00B20D3F">
            <w:pPr>
              <w:jc w:val="right"/>
            </w:pPr>
            <w:r w:rsidRPr="00302109">
              <w:t>267.000,00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B20D3F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B20D3F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7777777" w:rsidR="00941583" w:rsidRPr="00302109" w:rsidRDefault="00941583" w:rsidP="00B20D3F">
            <w:pPr>
              <w:jc w:val="right"/>
            </w:pPr>
            <w:r w:rsidRPr="00302109">
              <w:t>60.832,80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B20D3F">
            <w:pPr>
              <w:jc w:val="both"/>
            </w:pPr>
            <w:r w:rsidRPr="00302109"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77777777" w:rsidR="00941583" w:rsidRPr="00302109" w:rsidRDefault="00941583" w:rsidP="00B20D3F">
            <w:pPr>
              <w:jc w:val="right"/>
            </w:pPr>
            <w:r w:rsidRPr="00302109">
              <w:t>650.000,00 zł</w:t>
            </w:r>
          </w:p>
        </w:tc>
      </w:tr>
      <w:tr w:rsidR="00941583" w:rsidRPr="00302109" w14:paraId="79A67FBF" w14:textId="77777777" w:rsidTr="00BD5F1D">
        <w:trPr>
          <w:trHeight w:val="675"/>
        </w:trPr>
        <w:tc>
          <w:tcPr>
            <w:tcW w:w="6666" w:type="dxa"/>
            <w:gridSpan w:val="2"/>
            <w:shd w:val="clear" w:color="auto" w:fill="auto"/>
          </w:tcPr>
          <w:p w14:paraId="05578344" w14:textId="77777777" w:rsidR="00941583" w:rsidRPr="00302109" w:rsidRDefault="00941583" w:rsidP="00B20D3F">
            <w:pPr>
              <w:jc w:val="both"/>
            </w:pPr>
            <w:r w:rsidRPr="00302109">
              <w:lastRenderedPageBreak/>
              <w:t xml:space="preserve">- dla jednostek spoza sekt. fin. publicznych na </w:t>
            </w:r>
            <w:proofErr w:type="spellStart"/>
            <w:r w:rsidRPr="00302109">
              <w:t>dof</w:t>
            </w:r>
            <w:proofErr w:type="spellEnd"/>
            <w:r w:rsidRPr="00302109">
              <w:t xml:space="preserve">. prac </w:t>
            </w:r>
          </w:p>
          <w:p w14:paraId="09538D2A" w14:textId="77777777" w:rsidR="00941583" w:rsidRPr="00302109" w:rsidRDefault="00941583" w:rsidP="00B20D3F">
            <w:pPr>
              <w:jc w:val="both"/>
            </w:pPr>
            <w:r w:rsidRPr="00302109">
              <w:t xml:space="preserve">   remontowych i konserwatorskich obiektów zabytkowych           </w:t>
            </w:r>
          </w:p>
        </w:tc>
        <w:tc>
          <w:tcPr>
            <w:tcW w:w="1559" w:type="dxa"/>
            <w:shd w:val="clear" w:color="auto" w:fill="auto"/>
          </w:tcPr>
          <w:p w14:paraId="655B4658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77777777" w:rsidR="00941583" w:rsidRPr="00302109" w:rsidRDefault="00941583" w:rsidP="00B20D3F">
            <w:pPr>
              <w:jc w:val="both"/>
            </w:pPr>
            <w:r w:rsidRPr="00302109">
              <w:t>- wpłata na rzecz związku międzygminnego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7777777" w:rsidR="00941583" w:rsidRPr="00302109" w:rsidRDefault="00941583" w:rsidP="00B20D3F">
            <w:pPr>
              <w:jc w:val="right"/>
            </w:pPr>
            <w:r w:rsidRPr="00302109">
              <w:t>24.000,00 zł</w:t>
            </w:r>
          </w:p>
        </w:tc>
      </w:tr>
      <w:tr w:rsidR="00941583" w:rsidRPr="00302109" w14:paraId="778F7BD4" w14:textId="77777777" w:rsidTr="00BD5F1D">
        <w:tc>
          <w:tcPr>
            <w:tcW w:w="6666" w:type="dxa"/>
            <w:gridSpan w:val="2"/>
            <w:shd w:val="clear" w:color="auto" w:fill="auto"/>
          </w:tcPr>
          <w:p w14:paraId="736994CE" w14:textId="77777777" w:rsidR="00941583" w:rsidRPr="00302109" w:rsidRDefault="00941583" w:rsidP="00B20D3F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</w:tc>
        <w:tc>
          <w:tcPr>
            <w:tcW w:w="1559" w:type="dxa"/>
            <w:shd w:val="clear" w:color="auto" w:fill="auto"/>
          </w:tcPr>
          <w:p w14:paraId="347E97BA" w14:textId="34EE3C8D" w:rsidR="00941583" w:rsidRPr="00302109" w:rsidRDefault="00BD5F1D" w:rsidP="00B20D3F">
            <w:pPr>
              <w:jc w:val="right"/>
            </w:pPr>
            <w:r>
              <w:t>2</w:t>
            </w:r>
            <w:r w:rsidR="00B53B8A">
              <w:t>1</w:t>
            </w:r>
            <w:r>
              <w:t>6.640,97</w:t>
            </w:r>
            <w:r w:rsidR="00941583" w:rsidRPr="00302109">
              <w:t xml:space="preserve"> zł</w:t>
            </w:r>
          </w:p>
        </w:tc>
      </w:tr>
    </w:tbl>
    <w:p w14:paraId="568E7C3C" w14:textId="77777777" w:rsidR="00941583" w:rsidRPr="00302109" w:rsidRDefault="00941583" w:rsidP="00941583">
      <w:pPr>
        <w:jc w:val="both"/>
      </w:pPr>
      <w:r w:rsidRPr="00302109">
        <w:t xml:space="preserve">                d) wydatki na obsługę długu                                                                     670.000,00 zł</w:t>
      </w:r>
    </w:p>
    <w:p w14:paraId="3340EC54" w14:textId="4D53F480" w:rsidR="00941583" w:rsidRPr="00606B1B" w:rsidRDefault="00941583" w:rsidP="00941583">
      <w:pPr>
        <w:jc w:val="both"/>
      </w:pPr>
      <w:r w:rsidRPr="00840190">
        <w:t xml:space="preserve">          2) wydatki majątkowe w wysokości  </w:t>
      </w:r>
      <w:r w:rsidR="00B81DE8">
        <w:t>27.7</w:t>
      </w:r>
      <w:r w:rsidR="00EA60E7">
        <w:t>74</w:t>
      </w:r>
      <w:r w:rsidR="00B81DE8">
        <w:t>.460,85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358DC57E" w:rsidR="00941583" w:rsidRPr="00606B1B" w:rsidRDefault="00941583" w:rsidP="00941583">
      <w:pPr>
        <w:ind w:left="851" w:hanging="567"/>
        <w:jc w:val="both"/>
      </w:pPr>
      <w:r w:rsidRPr="00606B1B">
        <w:t xml:space="preserve">      </w:t>
      </w:r>
      <w:r w:rsidRPr="00840190">
        <w:rPr>
          <w:b/>
        </w:rPr>
        <w:t xml:space="preserve">3. </w:t>
      </w:r>
      <w:r w:rsidRPr="00840190">
        <w:t xml:space="preserve">Wydatki  na zadania inwestycyjne i inne majątkowe ustala się w wysokości </w:t>
      </w:r>
      <w:r w:rsidR="00B81DE8">
        <w:t>27.7</w:t>
      </w:r>
      <w:r w:rsidR="00EA60E7">
        <w:t>74</w:t>
      </w:r>
      <w:r w:rsidR="00B81DE8">
        <w:t>.460,85</w:t>
      </w:r>
      <w:r w:rsidRPr="00840190">
        <w:t xml:space="preserve"> zł,</w:t>
      </w:r>
      <w:r w:rsidRPr="00606B1B">
        <w:t xml:space="preserve"> </w:t>
      </w:r>
    </w:p>
    <w:p w14:paraId="4A365D4E" w14:textId="77777777" w:rsidR="00941583" w:rsidRPr="00606B1B" w:rsidRDefault="00941583" w:rsidP="00941583">
      <w:pPr>
        <w:ind w:left="360"/>
        <w:jc w:val="both"/>
      </w:pPr>
      <w:r w:rsidRPr="00606B1B">
        <w:t xml:space="preserve">    - zgodnie z załącznikiem nr 3.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6B37249A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861BB3">
        <w:t>2</w:t>
      </w:r>
      <w:r w:rsidR="00762FDD">
        <w:t xml:space="preserve"> i 3</w:t>
      </w:r>
      <w:r w:rsidR="004355CE">
        <w:t xml:space="preserve"> </w:t>
      </w:r>
      <w:r w:rsidR="00866EC3">
        <w:t>do niniejszej uchwały;</w:t>
      </w:r>
    </w:p>
    <w:p w14:paraId="3D842201" w14:textId="7E936868" w:rsidR="00762FDD" w:rsidRDefault="00762FDD" w:rsidP="009D1265">
      <w:pPr>
        <w:ind w:left="360"/>
      </w:pPr>
    </w:p>
    <w:p w14:paraId="4CA70223" w14:textId="53B2A722" w:rsidR="000C1BF7" w:rsidRPr="00D01993" w:rsidRDefault="000C1BF7" w:rsidP="000C1BF7">
      <w:pPr>
        <w:pStyle w:val="Akapitzlist"/>
        <w:numPr>
          <w:ilvl w:val="0"/>
          <w:numId w:val="1"/>
        </w:numPr>
      </w:pPr>
      <w:r w:rsidRPr="000C1BF7">
        <w:rPr>
          <w:rFonts w:cs="Arial"/>
        </w:rPr>
        <w:t>§ 3</w:t>
      </w:r>
      <w:r w:rsidRPr="00D01993">
        <w:t xml:space="preserve"> uchwały otrzymuje brzmienie:   </w:t>
      </w:r>
    </w:p>
    <w:p w14:paraId="3E09DFAB" w14:textId="77777777" w:rsidR="000C1BF7" w:rsidRDefault="000C1BF7" w:rsidP="000C1BF7">
      <w:pPr>
        <w:ind w:left="360"/>
      </w:pPr>
    </w:p>
    <w:p w14:paraId="38C8D69E" w14:textId="0A324891" w:rsidR="00941583" w:rsidRPr="004E5323" w:rsidRDefault="00941583" w:rsidP="00941583">
      <w:pPr>
        <w:ind w:left="840"/>
        <w:jc w:val="both"/>
      </w:pPr>
      <w:r>
        <w:t>„</w:t>
      </w:r>
      <w:r w:rsidRPr="00840190">
        <w:rPr>
          <w:b/>
          <w:bCs/>
        </w:rPr>
        <w:t xml:space="preserve">§ 3. </w:t>
      </w:r>
      <w:r w:rsidRPr="00840190">
        <w:t xml:space="preserve">Ustala się przychody w kwocie </w:t>
      </w:r>
      <w:r w:rsidR="00C15E2F">
        <w:t>13.</w:t>
      </w:r>
      <w:r w:rsidR="00E95891">
        <w:t>467</w:t>
      </w:r>
      <w:r w:rsidR="00C15E2F">
        <w:t>.237,31</w:t>
      </w:r>
      <w:r w:rsidRPr="00840190">
        <w:t xml:space="preserve"> zł i rozchody w kwocie </w:t>
      </w:r>
      <w:r>
        <w:t>6.908.500,00</w:t>
      </w:r>
      <w:r w:rsidRPr="00840190">
        <w:t xml:space="preserve"> zł, zgodnie z załącznikiem nr 4.</w:t>
      </w:r>
      <w:r>
        <w:t xml:space="preserve"> </w:t>
      </w:r>
      <w:r w:rsidRPr="00840190">
        <w:t xml:space="preserve">Deficyt budżetu w kwocie </w:t>
      </w:r>
      <w:r w:rsidR="00C15E2F">
        <w:t>6.</w:t>
      </w:r>
      <w:r w:rsidR="00E95891">
        <w:t>558</w:t>
      </w:r>
      <w:r w:rsidR="00C15E2F">
        <w:t>.737,31</w:t>
      </w:r>
      <w:r w:rsidRPr="00840190">
        <w:t xml:space="preserve"> zł zostanie sfinansowany przychodami z tytułu sprzedaży innych papierów wartościowych</w:t>
      </w:r>
      <w:r w:rsidR="00BD5F1D">
        <w:t xml:space="preserve"> oraz z tytułu wolnych środków</w:t>
      </w:r>
      <w:r w:rsidR="00B81DE8">
        <w:t xml:space="preserve"> i </w:t>
      </w:r>
      <w:r w:rsidR="00B81DE8" w:rsidRPr="00B81DE8">
        <w:t xml:space="preserve">z niewykorzystanych środków pieniężnych na rachunku </w:t>
      </w:r>
      <w:proofErr w:type="spellStart"/>
      <w:r w:rsidR="00B81DE8" w:rsidRPr="00B81DE8">
        <w:t>bieżącycm</w:t>
      </w:r>
      <w:proofErr w:type="spellEnd"/>
      <w:r w:rsidR="00B81DE8" w:rsidRPr="00B81DE8">
        <w:t xml:space="preserve"> budżetu, wynikającym z rozliczenia dochodów i wydatków nimi finansowanych związanych ze szczególnymi zasadami wykonywania budżetu określonymi w odrębnych ustawach</w:t>
      </w:r>
      <w:r w:rsidR="00BD5F1D">
        <w:t>.</w:t>
      </w:r>
      <w:r>
        <w:t>”</w:t>
      </w:r>
    </w:p>
    <w:p w14:paraId="2D121BDC" w14:textId="0BDE470A" w:rsidR="000C1BF7" w:rsidRPr="004E5323" w:rsidRDefault="000C1BF7" w:rsidP="00941583">
      <w:pPr>
        <w:jc w:val="both"/>
      </w:pPr>
    </w:p>
    <w:p w14:paraId="2AC39034" w14:textId="77777777" w:rsidR="000C1BF7" w:rsidRDefault="000C1BF7" w:rsidP="000C1BF7">
      <w:pPr>
        <w:ind w:left="360"/>
      </w:pPr>
      <w:r>
        <w:t xml:space="preserve">          - zgodnie z załącznikiem nr 4 do niniejszej uchwały;</w:t>
      </w:r>
    </w:p>
    <w:p w14:paraId="78195B48" w14:textId="658B78C4" w:rsidR="00B8055A" w:rsidRDefault="00B8055A" w:rsidP="009D1265">
      <w:pPr>
        <w:ind w:left="360"/>
      </w:pPr>
    </w:p>
    <w:p w14:paraId="642DA1F9" w14:textId="1A1C3038" w:rsidR="00EA60E7" w:rsidRPr="00D01993" w:rsidRDefault="00EA60E7" w:rsidP="00EA60E7">
      <w:pPr>
        <w:pStyle w:val="Akapitzlist"/>
        <w:numPr>
          <w:ilvl w:val="0"/>
          <w:numId w:val="1"/>
        </w:numPr>
      </w:pPr>
      <w:r w:rsidRPr="00EA60E7">
        <w:rPr>
          <w:rFonts w:cs="Arial"/>
        </w:rPr>
        <w:t xml:space="preserve">§ </w:t>
      </w:r>
      <w:r>
        <w:rPr>
          <w:rFonts w:cs="Arial"/>
        </w:rPr>
        <w:t>4</w:t>
      </w:r>
      <w:r w:rsidRPr="00D01993">
        <w:t xml:space="preserve"> uchwały otrzymuje brzmienie:   </w:t>
      </w:r>
    </w:p>
    <w:p w14:paraId="32A4EF2A" w14:textId="7C77F0AD" w:rsidR="00EA60E7" w:rsidRDefault="00EA60E7" w:rsidP="009D1265">
      <w:pPr>
        <w:ind w:left="360"/>
      </w:pPr>
    </w:p>
    <w:p w14:paraId="48CB0A78" w14:textId="2673655C" w:rsidR="00EA60E7" w:rsidRPr="00840190" w:rsidRDefault="00EA60E7" w:rsidP="00EA60E7">
      <w:pPr>
        <w:ind w:left="851"/>
        <w:jc w:val="both"/>
      </w:pPr>
      <w:r>
        <w:rPr>
          <w:b/>
          <w:bCs/>
        </w:rPr>
        <w:t>„</w:t>
      </w:r>
      <w:r w:rsidRPr="00840190">
        <w:rPr>
          <w:b/>
          <w:bCs/>
        </w:rPr>
        <w:t>§ 4. 1</w:t>
      </w:r>
      <w:r w:rsidRPr="00840190">
        <w:rPr>
          <w:bCs/>
        </w:rPr>
        <w:t>.</w:t>
      </w:r>
      <w:r w:rsidRPr="00840190">
        <w:rPr>
          <w:b/>
          <w:bCs/>
        </w:rPr>
        <w:t xml:space="preserve">  </w:t>
      </w:r>
      <w:r w:rsidRPr="00840190">
        <w:t>Ustala się dochody z tytułu wydawania zezwoleń na sprzedaż napojów   alkoholowych w kwocie 216.200,00 zł i dochody z tyt. usług pozostałych związanych</w:t>
      </w:r>
      <w:r>
        <w:t xml:space="preserve"> z</w:t>
      </w:r>
      <w:r w:rsidRPr="00840190">
        <w:t xml:space="preserve"> profilaktyką</w:t>
      </w:r>
      <w:r>
        <w:t xml:space="preserve"> </w:t>
      </w:r>
      <w:r w:rsidRPr="00840190">
        <w:t xml:space="preserve">i  rozwiązywaniem problemów alkoholowych w kwocie 6.000,00 zł oraz wydatki na realizację zadań określonych w gminnym  programie profilaktyki i rozwiązywania problemów alkoholowych w kwocie </w:t>
      </w:r>
      <w:r>
        <w:t>273.959,35</w:t>
      </w:r>
      <w:r w:rsidRPr="00840190">
        <w:t xml:space="preserve"> zł.</w:t>
      </w:r>
    </w:p>
    <w:p w14:paraId="305D709E" w14:textId="6CD3EBD0" w:rsidR="00EA60E7" w:rsidRPr="004E5323" w:rsidRDefault="00EA60E7" w:rsidP="00EA60E7">
      <w:pPr>
        <w:ind w:left="851"/>
      </w:pPr>
      <w:r w:rsidRPr="00840190">
        <w:rPr>
          <w:b/>
        </w:rPr>
        <w:t>2</w:t>
      </w:r>
      <w:r w:rsidRPr="00840190">
        <w:t>. Ustala się wydatki na realizację zadań określonych w gminnym programie przeciwdziałania narkomanii w kwocie 10.000,00 zł.</w:t>
      </w:r>
      <w:r>
        <w:t>”;</w:t>
      </w:r>
    </w:p>
    <w:p w14:paraId="2059158F" w14:textId="77777777" w:rsidR="00EA60E7" w:rsidRDefault="00EA60E7" w:rsidP="009D1265">
      <w:pPr>
        <w:ind w:left="360"/>
      </w:pPr>
    </w:p>
    <w:p w14:paraId="3335C0A9" w14:textId="47E45F25" w:rsidR="00694080" w:rsidRPr="00694080" w:rsidRDefault="00694080" w:rsidP="00EA60E7">
      <w:pPr>
        <w:pStyle w:val="Akapitzlist"/>
        <w:numPr>
          <w:ilvl w:val="0"/>
          <w:numId w:val="1"/>
        </w:numPr>
        <w:rPr>
          <w:rFonts w:cs="Arial"/>
        </w:rPr>
      </w:pPr>
      <w:bookmarkStart w:id="0" w:name="_Hlk52193187"/>
      <w:r w:rsidRPr="00694080">
        <w:rPr>
          <w:rFonts w:cs="Arial"/>
        </w:rPr>
        <w:t xml:space="preserve">§ </w:t>
      </w:r>
      <w:r w:rsidR="00510F33">
        <w:rPr>
          <w:rFonts w:cs="Arial"/>
        </w:rPr>
        <w:t>7</w:t>
      </w:r>
      <w:r w:rsidRPr="00D01993">
        <w:t xml:space="preserve"> uchwały otrzymuje brzmienie:   </w:t>
      </w:r>
    </w:p>
    <w:p w14:paraId="302CDF39" w14:textId="1F22D69A" w:rsidR="00694080" w:rsidRDefault="00694080" w:rsidP="00694080">
      <w:pPr>
        <w:ind w:left="360"/>
      </w:pPr>
    </w:p>
    <w:p w14:paraId="292FF0A1" w14:textId="77777777" w:rsidR="00510F33" w:rsidRPr="00840190" w:rsidRDefault="00510F33" w:rsidP="00510F33">
      <w:pPr>
        <w:ind w:firstLine="480"/>
      </w:pPr>
      <w:r>
        <w:t>„</w:t>
      </w:r>
      <w:r w:rsidRPr="00840190">
        <w:rPr>
          <w:b/>
          <w:bCs/>
        </w:rPr>
        <w:t xml:space="preserve">§ 7. </w:t>
      </w:r>
      <w:r w:rsidRPr="00840190">
        <w:t xml:space="preserve">Ustala się dochody i wydatki związane z realizacją zadań bieżących z zakresu </w:t>
      </w:r>
    </w:p>
    <w:p w14:paraId="2F2F2C6D" w14:textId="77777777" w:rsidR="00510F33" w:rsidRPr="00840190" w:rsidRDefault="00510F33" w:rsidP="00510F33">
      <w:r w:rsidRPr="00840190">
        <w:t xml:space="preserve">         administracji rządowej oraz innych zadań zleconych gminie ustawami:</w:t>
      </w:r>
    </w:p>
    <w:p w14:paraId="3FC82691" w14:textId="1CF7A24B" w:rsidR="00510F33" w:rsidRPr="00840190" w:rsidRDefault="00510F33" w:rsidP="00510F33">
      <w:r w:rsidRPr="00840190">
        <w:tab/>
      </w:r>
      <w:r w:rsidRPr="00840190">
        <w:tab/>
      </w:r>
      <w:r w:rsidRPr="00840190">
        <w:tab/>
        <w:t xml:space="preserve">dochody </w:t>
      </w:r>
      <w:r w:rsidRPr="00840190">
        <w:tab/>
        <w:t>:</w:t>
      </w:r>
      <w:r w:rsidRPr="00840190">
        <w:tab/>
      </w:r>
      <w:r w:rsidR="00B81DE8">
        <w:t>17.395.344,75</w:t>
      </w:r>
      <w:r w:rsidRPr="00840190">
        <w:t xml:space="preserve"> zł</w:t>
      </w:r>
    </w:p>
    <w:p w14:paraId="7C7C61C3" w14:textId="0F404582" w:rsidR="00510F33" w:rsidRPr="00840190" w:rsidRDefault="00510F33" w:rsidP="00510F33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 w:rsidR="00B81DE8">
        <w:t>17.395.344,75</w:t>
      </w:r>
      <w:r w:rsidRPr="00840190">
        <w:t xml:space="preserve"> zł</w:t>
      </w:r>
    </w:p>
    <w:p w14:paraId="4ABF74EB" w14:textId="1A957C25" w:rsidR="00510F33" w:rsidRPr="001F64FB" w:rsidRDefault="00510F33" w:rsidP="00510F33">
      <w:pPr>
        <w:ind w:firstLine="708"/>
      </w:pPr>
      <w:r w:rsidRPr="00840190">
        <w:t>- zgodnie z załącznikiem nr 6 i 7.</w:t>
      </w:r>
      <w:r>
        <w:t>”</w:t>
      </w:r>
    </w:p>
    <w:p w14:paraId="168F825A" w14:textId="69EE3D00" w:rsidR="00510F33" w:rsidRDefault="00510F33" w:rsidP="00694080">
      <w:pPr>
        <w:ind w:left="360"/>
      </w:pPr>
    </w:p>
    <w:p w14:paraId="705B4F7A" w14:textId="5B4C2F27" w:rsidR="00510F33" w:rsidRDefault="00510F33" w:rsidP="00510F33">
      <w:pPr>
        <w:ind w:left="360"/>
      </w:pPr>
      <w:r>
        <w:t xml:space="preserve">          - zgodnie z załącznikiem nr 5 i 6 do niniejszej uchwały;</w:t>
      </w:r>
    </w:p>
    <w:p w14:paraId="73A71F9C" w14:textId="77777777" w:rsidR="00510F33" w:rsidRDefault="00510F33" w:rsidP="00694080">
      <w:pPr>
        <w:ind w:left="360"/>
      </w:pPr>
    </w:p>
    <w:bookmarkEnd w:id="0"/>
    <w:p w14:paraId="36EF6F6A" w14:textId="77777777" w:rsidR="00711D1F" w:rsidRPr="00D01993" w:rsidRDefault="00711D1F" w:rsidP="00EA60E7">
      <w:pPr>
        <w:pStyle w:val="Akapitzlist"/>
        <w:numPr>
          <w:ilvl w:val="0"/>
          <w:numId w:val="1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1A91FC78" w14:textId="77777777" w:rsidR="00711D1F" w:rsidRDefault="00711D1F" w:rsidP="00711D1F"/>
    <w:p w14:paraId="3AF89A02" w14:textId="7E558EC6" w:rsidR="00941583" w:rsidRPr="00840190" w:rsidRDefault="00941583" w:rsidP="00941583">
      <w:pPr>
        <w:ind w:firstLine="480"/>
        <w:rPr>
          <w:bCs/>
        </w:rPr>
      </w:pPr>
      <w:r>
        <w:rPr>
          <w:b/>
          <w:bCs/>
        </w:rPr>
        <w:t>„</w:t>
      </w:r>
      <w:r w:rsidRPr="00840190">
        <w:rPr>
          <w:b/>
          <w:bCs/>
        </w:rPr>
        <w:t xml:space="preserve">§ 8. </w:t>
      </w:r>
      <w:r w:rsidRPr="00840190">
        <w:rPr>
          <w:bCs/>
        </w:rPr>
        <w:t>Ustala się zestawienie planowanych kwot dotacji udzielanych z budżetu gminy:</w:t>
      </w:r>
    </w:p>
    <w:p w14:paraId="6E38FFFD" w14:textId="4B441EC3" w:rsidR="00941583" w:rsidRPr="00840190" w:rsidRDefault="00941583" w:rsidP="00941583">
      <w:pPr>
        <w:numPr>
          <w:ilvl w:val="0"/>
          <w:numId w:val="5"/>
        </w:numPr>
      </w:pPr>
      <w:r w:rsidRPr="00840190">
        <w:t xml:space="preserve">dotacje dla jednostek sektora finansów publicznych w kwocie </w:t>
      </w:r>
      <w:r w:rsidR="00B81DE8">
        <w:t>2.4</w:t>
      </w:r>
      <w:r w:rsidR="002A2020">
        <w:t>4</w:t>
      </w:r>
      <w:r w:rsidR="00B81DE8">
        <w:t>3.213,77</w:t>
      </w:r>
      <w:r w:rsidRPr="00840190">
        <w:t xml:space="preserve"> zł,</w:t>
      </w:r>
    </w:p>
    <w:p w14:paraId="1BC16EC5" w14:textId="77777777" w:rsidR="00941583" w:rsidRPr="00840190" w:rsidRDefault="00941583" w:rsidP="00941583">
      <w:pPr>
        <w:numPr>
          <w:ilvl w:val="0"/>
          <w:numId w:val="5"/>
        </w:numPr>
      </w:pPr>
      <w:r w:rsidRPr="00840190">
        <w:t>dotacje dla jednostek spoza sektora finansów publicznych w kwocie 1.148.000,00 zł</w:t>
      </w:r>
    </w:p>
    <w:p w14:paraId="66C337BB" w14:textId="0058F0B1" w:rsidR="00941583" w:rsidRPr="00D64107" w:rsidRDefault="00941583" w:rsidP="00941583">
      <w:pPr>
        <w:ind w:firstLine="708"/>
      </w:pPr>
      <w:r w:rsidRPr="00840190">
        <w:lastRenderedPageBreak/>
        <w:t>- zgodnie z załącznikiem nr 8</w:t>
      </w:r>
      <w:r>
        <w:t>”.</w:t>
      </w:r>
    </w:p>
    <w:p w14:paraId="6AF413DD" w14:textId="77777777" w:rsidR="00711D1F" w:rsidRPr="00D64107" w:rsidRDefault="00711D1F" w:rsidP="00711D1F">
      <w:pPr>
        <w:ind w:firstLine="708"/>
      </w:pPr>
    </w:p>
    <w:p w14:paraId="30AB014B" w14:textId="3A22FD38" w:rsidR="00711D1F" w:rsidRDefault="00711D1F" w:rsidP="00711D1F">
      <w:pPr>
        <w:ind w:left="360"/>
      </w:pPr>
      <w:r>
        <w:t xml:space="preserve">          - zgodnie z załącznikiem nr </w:t>
      </w:r>
      <w:r w:rsidR="00510F33">
        <w:t>7</w:t>
      </w:r>
      <w:r>
        <w:t xml:space="preserve"> do niniejszej uchwały;</w:t>
      </w:r>
    </w:p>
    <w:p w14:paraId="185A12BB" w14:textId="77777777" w:rsidR="00D32A60" w:rsidRDefault="00D32A60" w:rsidP="009D1265">
      <w:pPr>
        <w:ind w:left="360"/>
      </w:pPr>
    </w:p>
    <w:p w14:paraId="5E6B09D8" w14:textId="0E8C97E4" w:rsidR="00711D1F" w:rsidRPr="00D01993" w:rsidRDefault="00711D1F" w:rsidP="00EA60E7">
      <w:pPr>
        <w:pStyle w:val="Akapitzlist"/>
        <w:numPr>
          <w:ilvl w:val="0"/>
          <w:numId w:val="1"/>
        </w:numPr>
        <w:ind w:left="644"/>
      </w:pPr>
      <w:r w:rsidRPr="00CA7FFE">
        <w:rPr>
          <w:rFonts w:cs="Arial"/>
        </w:rPr>
        <w:t>§ 1</w:t>
      </w:r>
      <w:r w:rsidR="00B81DE8">
        <w:rPr>
          <w:rFonts w:cs="Arial"/>
        </w:rPr>
        <w:t>1</w:t>
      </w:r>
      <w:r w:rsidRPr="00D01993">
        <w:t xml:space="preserve"> uchwały otrzymuje brzmienie:   </w:t>
      </w:r>
    </w:p>
    <w:p w14:paraId="4B658F37" w14:textId="77777777" w:rsidR="00711D1F" w:rsidRDefault="00711D1F" w:rsidP="00711D1F">
      <w:pPr>
        <w:ind w:left="360"/>
      </w:pPr>
    </w:p>
    <w:p w14:paraId="68C0FBAB" w14:textId="6167C7B1" w:rsidR="00B81DE8" w:rsidRPr="00DB7777" w:rsidRDefault="00B81DE8" w:rsidP="00B81DE8">
      <w:pPr>
        <w:ind w:firstLine="284"/>
        <w:jc w:val="both"/>
      </w:pPr>
      <w:r>
        <w:rPr>
          <w:b/>
          <w:bCs/>
        </w:rPr>
        <w:t>„</w:t>
      </w:r>
      <w:r w:rsidRPr="00DB7777">
        <w:rPr>
          <w:b/>
          <w:bCs/>
        </w:rPr>
        <w:t xml:space="preserve">§ 11. </w:t>
      </w:r>
      <w:r w:rsidRPr="00DB7777">
        <w:t xml:space="preserve">Ustala się limit wydatków na programy i projekty realizowane ze środków  </w:t>
      </w:r>
      <w:r w:rsidRPr="00DB7777">
        <w:br/>
        <w:t xml:space="preserve">      o których mowa w art. 5 ust. 1 pkt 2 i 3 ustawy z dnia 27 sierpnia 2009r. </w:t>
      </w:r>
      <w:r w:rsidRPr="00DB7777">
        <w:br/>
        <w:t xml:space="preserve">      o finansach   publicznych </w:t>
      </w:r>
    </w:p>
    <w:p w14:paraId="4E83BDF1" w14:textId="029B52C1" w:rsidR="00B81DE8" w:rsidRPr="00DB7777" w:rsidRDefault="00B81DE8" w:rsidP="00B81DE8">
      <w:pPr>
        <w:ind w:left="480"/>
        <w:jc w:val="both"/>
      </w:pPr>
      <w:r w:rsidRPr="00DB7777">
        <w:t xml:space="preserve">             - zgodnie z załącznikiem nr 11.</w:t>
      </w:r>
      <w:r>
        <w:t>”</w:t>
      </w:r>
    </w:p>
    <w:p w14:paraId="048451A8" w14:textId="77777777" w:rsidR="00711D1F" w:rsidRPr="00DB7777" w:rsidRDefault="00711D1F" w:rsidP="00711D1F">
      <w:pPr>
        <w:jc w:val="both"/>
      </w:pPr>
    </w:p>
    <w:p w14:paraId="633D43EA" w14:textId="29E58366" w:rsidR="00711D1F" w:rsidRDefault="00711D1F" w:rsidP="00711D1F">
      <w:pPr>
        <w:ind w:left="360"/>
      </w:pPr>
      <w:r>
        <w:t xml:space="preserve">          - zgodnie z załącznikiem nr </w:t>
      </w:r>
      <w:r w:rsidR="00510F33">
        <w:t>8</w:t>
      </w:r>
      <w:r>
        <w:t xml:space="preserve"> do niniejszej uchwały</w:t>
      </w:r>
      <w:r w:rsidR="00B81DE8">
        <w:t>.</w:t>
      </w:r>
    </w:p>
    <w:p w14:paraId="64EE9A0C" w14:textId="77777777" w:rsidR="000C415E" w:rsidRDefault="000C415E" w:rsidP="00711D1F">
      <w:pPr>
        <w:ind w:left="360"/>
      </w:pPr>
    </w:p>
    <w:p w14:paraId="75713BD7" w14:textId="37FCC24D" w:rsidR="000C415E" w:rsidRDefault="000C415E" w:rsidP="00EA60E7">
      <w:pPr>
        <w:pStyle w:val="Akapitzlist"/>
        <w:numPr>
          <w:ilvl w:val="0"/>
          <w:numId w:val="1"/>
        </w:numPr>
      </w:pPr>
      <w:r>
        <w:rPr>
          <w:rFonts w:cs="Arial"/>
        </w:rPr>
        <w:t>§ 14</w:t>
      </w:r>
      <w:r>
        <w:t xml:space="preserve"> uchwały otrzymuje brzmienie:   </w:t>
      </w:r>
    </w:p>
    <w:p w14:paraId="1411B0AD" w14:textId="77777777" w:rsidR="000C415E" w:rsidRDefault="000C415E" w:rsidP="000C415E">
      <w:pPr>
        <w:ind w:left="360"/>
      </w:pPr>
    </w:p>
    <w:p w14:paraId="05B3A336" w14:textId="77777777" w:rsidR="000C415E" w:rsidRDefault="000C415E" w:rsidP="000C415E">
      <w:pPr>
        <w:ind w:firstLine="480"/>
        <w:jc w:val="both"/>
        <w:rPr>
          <w:bCs/>
        </w:rPr>
      </w:pPr>
      <w:r>
        <w:rPr>
          <w:b/>
          <w:bCs/>
        </w:rPr>
        <w:t>„§ 14. 1.</w:t>
      </w:r>
      <w:r>
        <w:rPr>
          <w:bCs/>
        </w:rPr>
        <w:t>Jednostki pomocnicze prowadzą gospodarkę finansową w ramach budżetu.</w:t>
      </w:r>
    </w:p>
    <w:p w14:paraId="5788F13C" w14:textId="77777777" w:rsidR="000C415E" w:rsidRDefault="000C415E" w:rsidP="000C415E">
      <w:pPr>
        <w:jc w:val="both"/>
      </w:pPr>
      <w:r>
        <w:t xml:space="preserve">            </w:t>
      </w:r>
      <w:r>
        <w:rPr>
          <w:b/>
        </w:rPr>
        <w:t xml:space="preserve">2. </w:t>
      </w:r>
      <w:r>
        <w:t xml:space="preserve">Ustala się fundusz sołecki w  formie  zestawienia  wydatków  z  podziałem  kwot  oraz  </w:t>
      </w:r>
    </w:p>
    <w:p w14:paraId="3B9B617D" w14:textId="77777777" w:rsidR="000C415E" w:rsidRDefault="000C415E" w:rsidP="000C415E">
      <w:pPr>
        <w:jc w:val="both"/>
      </w:pPr>
      <w:r>
        <w:t xml:space="preserve">             określeniem przedsięwzięć do realizacji dla poszczególnych sołectw</w:t>
      </w:r>
    </w:p>
    <w:p w14:paraId="52F7D851" w14:textId="77777777" w:rsidR="000C415E" w:rsidRDefault="000C415E" w:rsidP="000C415E">
      <w:pPr>
        <w:jc w:val="both"/>
      </w:pPr>
      <w:r>
        <w:tab/>
        <w:t>- zgodnie z załącznikiem nr 12.”</w:t>
      </w:r>
    </w:p>
    <w:p w14:paraId="09328873" w14:textId="77777777" w:rsidR="000C415E" w:rsidRDefault="000C415E" w:rsidP="000C415E">
      <w:pPr>
        <w:jc w:val="both"/>
      </w:pPr>
    </w:p>
    <w:p w14:paraId="72A96244" w14:textId="6BC606A4" w:rsidR="000C415E" w:rsidRDefault="000C415E" w:rsidP="000C415E">
      <w:pPr>
        <w:ind w:left="360"/>
      </w:pPr>
      <w:r>
        <w:t xml:space="preserve">          - zgodnie z załącznikiem nr 9 do niniejszej uchwały;</w:t>
      </w:r>
    </w:p>
    <w:p w14:paraId="197952D2" w14:textId="77777777" w:rsidR="00711D1F" w:rsidRDefault="00711D1F" w:rsidP="00926FC3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E994420" w14:textId="77777777" w:rsidR="00555414" w:rsidRDefault="00555414" w:rsidP="00054D88">
      <w:pPr>
        <w:ind w:left="4248" w:firstLine="708"/>
      </w:pPr>
    </w:p>
    <w:p w14:paraId="05290318" w14:textId="77777777" w:rsidR="00555414" w:rsidRDefault="00555414" w:rsidP="00054D88">
      <w:pPr>
        <w:ind w:left="4248" w:firstLine="708"/>
      </w:pPr>
    </w:p>
    <w:p w14:paraId="6A09057C" w14:textId="77777777" w:rsidR="00555414" w:rsidRDefault="00555414" w:rsidP="00054D88">
      <w:pPr>
        <w:ind w:left="4248" w:firstLine="708"/>
      </w:pPr>
    </w:p>
    <w:p w14:paraId="4745FB85" w14:textId="77777777" w:rsidR="00555414" w:rsidRDefault="00555414" w:rsidP="00054D88">
      <w:pPr>
        <w:ind w:left="4248" w:firstLine="708"/>
      </w:pPr>
    </w:p>
    <w:p w14:paraId="3B2B7157" w14:textId="77777777" w:rsidR="00555414" w:rsidRDefault="00555414" w:rsidP="00054D88">
      <w:pPr>
        <w:ind w:left="4248" w:firstLine="708"/>
      </w:pPr>
    </w:p>
    <w:p w14:paraId="1EE5F7F0" w14:textId="77777777" w:rsidR="00555414" w:rsidRDefault="00555414" w:rsidP="00054D88">
      <w:pPr>
        <w:ind w:left="4248" w:firstLine="708"/>
      </w:pPr>
    </w:p>
    <w:p w14:paraId="098C6A54" w14:textId="77777777" w:rsidR="00555414" w:rsidRDefault="00555414" w:rsidP="00054D88">
      <w:pPr>
        <w:ind w:left="4248" w:firstLine="708"/>
      </w:pPr>
    </w:p>
    <w:p w14:paraId="7374A40C" w14:textId="77777777" w:rsidR="00555414" w:rsidRDefault="00555414" w:rsidP="00054D88">
      <w:pPr>
        <w:ind w:left="4248" w:firstLine="708"/>
      </w:pPr>
    </w:p>
    <w:p w14:paraId="3EFAE283" w14:textId="77777777" w:rsidR="00555414" w:rsidRDefault="00555414" w:rsidP="00054D88">
      <w:pPr>
        <w:ind w:left="4248" w:firstLine="708"/>
      </w:pPr>
    </w:p>
    <w:p w14:paraId="10DF1BB3" w14:textId="77777777" w:rsidR="00555414" w:rsidRDefault="00555414" w:rsidP="00054D88">
      <w:pPr>
        <w:ind w:left="4248" w:firstLine="708"/>
      </w:pPr>
    </w:p>
    <w:p w14:paraId="708C7244" w14:textId="77777777" w:rsidR="00555414" w:rsidRDefault="00555414" w:rsidP="00054D88">
      <w:pPr>
        <w:ind w:left="4248" w:firstLine="708"/>
      </w:pPr>
    </w:p>
    <w:p w14:paraId="7F9EAE70" w14:textId="77777777" w:rsidR="00555414" w:rsidRDefault="00555414" w:rsidP="00054D88">
      <w:pPr>
        <w:ind w:left="4248" w:firstLine="708"/>
      </w:pPr>
    </w:p>
    <w:p w14:paraId="0A86FC21" w14:textId="77777777" w:rsidR="00555414" w:rsidRDefault="00555414" w:rsidP="00054D88">
      <w:pPr>
        <w:ind w:left="4248" w:firstLine="708"/>
      </w:pPr>
    </w:p>
    <w:p w14:paraId="020171E5" w14:textId="77777777" w:rsidR="00555414" w:rsidRDefault="00555414" w:rsidP="00054D88">
      <w:pPr>
        <w:ind w:left="4248" w:firstLine="708"/>
      </w:pPr>
    </w:p>
    <w:p w14:paraId="66E0701F" w14:textId="77777777" w:rsidR="00555414" w:rsidRDefault="00555414" w:rsidP="00054D88">
      <w:pPr>
        <w:ind w:left="4248" w:firstLine="708"/>
      </w:pPr>
    </w:p>
    <w:p w14:paraId="17D34D0F" w14:textId="77777777" w:rsidR="00555414" w:rsidRDefault="00555414" w:rsidP="00054D88">
      <w:pPr>
        <w:ind w:left="4248" w:firstLine="708"/>
      </w:pPr>
    </w:p>
    <w:p w14:paraId="4EB81B5D" w14:textId="77777777" w:rsidR="00555414" w:rsidRDefault="00555414" w:rsidP="00054D88">
      <w:pPr>
        <w:ind w:left="4248" w:firstLine="708"/>
      </w:pPr>
    </w:p>
    <w:p w14:paraId="4FE104E3" w14:textId="77777777" w:rsidR="00555414" w:rsidRDefault="00555414" w:rsidP="00054D88">
      <w:pPr>
        <w:ind w:left="4248" w:firstLine="708"/>
      </w:pPr>
    </w:p>
    <w:p w14:paraId="3356D30C" w14:textId="77777777" w:rsidR="002501D4" w:rsidRDefault="002501D4" w:rsidP="00054D88">
      <w:pPr>
        <w:ind w:left="4248" w:firstLine="708"/>
      </w:pPr>
    </w:p>
    <w:p w14:paraId="22E764FB" w14:textId="44DB7CFD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2739DD63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2501D4">
        <w:t xml:space="preserve"> XXXI/281/21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75003CC9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10410E">
        <w:t>22 marca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941583">
        <w:t>1</w:t>
      </w:r>
      <w:r>
        <w:t xml:space="preserve"> rok w następujący sposób:</w:t>
      </w:r>
    </w:p>
    <w:p w14:paraId="5F6587CE" w14:textId="77777777" w:rsidR="0010410E" w:rsidRDefault="0010410E" w:rsidP="0010410E">
      <w:pPr>
        <w:jc w:val="both"/>
        <w:rPr>
          <w:b/>
          <w:sz w:val="20"/>
          <w:szCs w:val="20"/>
        </w:rPr>
      </w:pPr>
    </w:p>
    <w:p w14:paraId="2892FC35" w14:textId="1EBA83DF" w:rsidR="0010410E" w:rsidRDefault="0010410E" w:rsidP="0010410E">
      <w:pPr>
        <w:jc w:val="both"/>
        <w:rPr>
          <w:b/>
          <w:sz w:val="20"/>
          <w:szCs w:val="20"/>
        </w:rPr>
      </w:pPr>
      <w:r w:rsidRPr="00CD103D">
        <w:rPr>
          <w:b/>
          <w:sz w:val="20"/>
          <w:szCs w:val="20"/>
        </w:rPr>
        <w:t>DOCHODY:</w:t>
      </w:r>
    </w:p>
    <w:p w14:paraId="7461D016" w14:textId="77777777" w:rsidR="0010410E" w:rsidRDefault="0010410E" w:rsidP="0010410E">
      <w:pPr>
        <w:jc w:val="both"/>
        <w:rPr>
          <w:b/>
          <w:sz w:val="20"/>
          <w:szCs w:val="20"/>
        </w:rPr>
      </w:pPr>
    </w:p>
    <w:tbl>
      <w:tblPr>
        <w:tblW w:w="860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00"/>
        <w:gridCol w:w="1221"/>
        <w:gridCol w:w="5339"/>
      </w:tblGrid>
      <w:tr w:rsidR="0010410E" w:rsidRPr="0018237F" w14:paraId="1E643435" w14:textId="77777777" w:rsidTr="00A6750A">
        <w:trPr>
          <w:trHeight w:val="204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3766" w14:textId="77777777" w:rsidR="0010410E" w:rsidRPr="0018237F" w:rsidRDefault="0010410E" w:rsidP="003F54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237F">
              <w:rPr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1C18" w14:textId="77777777" w:rsidR="0010410E" w:rsidRPr="0018237F" w:rsidRDefault="0010410E" w:rsidP="003F5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37F">
              <w:rPr>
                <w:b/>
                <w:bCs/>
                <w:color w:val="000000"/>
                <w:sz w:val="16"/>
                <w:szCs w:val="16"/>
              </w:rPr>
              <w:t>Klasyfikacja budżetowa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6AEF8" w14:textId="77777777" w:rsidR="0010410E" w:rsidRPr="0018237F" w:rsidRDefault="0010410E" w:rsidP="003F5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37F">
              <w:rPr>
                <w:b/>
                <w:bCs/>
                <w:color w:val="000000"/>
                <w:sz w:val="16"/>
                <w:szCs w:val="16"/>
              </w:rPr>
              <w:t>Kwota zmian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294C" w14:textId="77777777" w:rsidR="0010410E" w:rsidRPr="0018237F" w:rsidRDefault="0010410E" w:rsidP="003F5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37F">
              <w:rPr>
                <w:b/>
                <w:bCs/>
                <w:color w:val="000000"/>
                <w:sz w:val="16"/>
                <w:szCs w:val="16"/>
              </w:rPr>
              <w:t>Opis zmian</w:t>
            </w:r>
          </w:p>
        </w:tc>
      </w:tr>
      <w:tr w:rsidR="0010410E" w:rsidRPr="0018237F" w14:paraId="2D323E4C" w14:textId="77777777" w:rsidTr="00A6750A">
        <w:trPr>
          <w:trHeight w:val="744"/>
        </w:trPr>
        <w:tc>
          <w:tcPr>
            <w:tcW w:w="44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A8CE" w14:textId="77777777" w:rsidR="0010410E" w:rsidRPr="0018237F" w:rsidRDefault="0010410E" w:rsidP="003F54EC">
            <w:pPr>
              <w:jc w:val="center"/>
              <w:rPr>
                <w:color w:val="000000"/>
                <w:sz w:val="14"/>
                <w:szCs w:val="14"/>
              </w:rPr>
            </w:pPr>
            <w:r w:rsidRPr="0018237F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8841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80104, par. 2030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FFE6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-8 700,00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14:paraId="2CB8160A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Zmniejszenie planu dotacji na dofinansowanie zadań w zakresie wychowania przedszkol</w:t>
            </w:r>
            <w:r w:rsidRPr="008452A1">
              <w:rPr>
                <w:color w:val="000000"/>
                <w:sz w:val="16"/>
                <w:szCs w:val="16"/>
              </w:rPr>
              <w:t>n</w:t>
            </w:r>
            <w:r w:rsidRPr="0018237F">
              <w:rPr>
                <w:color w:val="000000"/>
                <w:sz w:val="16"/>
                <w:szCs w:val="16"/>
              </w:rPr>
              <w:t>ego w związku z zawiadomieniem otrzymanym z Kuratorium Oświaty.</w:t>
            </w:r>
          </w:p>
        </w:tc>
      </w:tr>
      <w:tr w:rsidR="0010410E" w:rsidRPr="0018237F" w14:paraId="4280655A" w14:textId="77777777" w:rsidTr="00A6750A">
        <w:trPr>
          <w:trHeight w:val="636"/>
        </w:trPr>
        <w:tc>
          <w:tcPr>
            <w:tcW w:w="4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B8CBA14" w14:textId="77777777" w:rsidR="0010410E" w:rsidRPr="0018237F" w:rsidRDefault="0010410E" w:rsidP="003F54EC">
            <w:pPr>
              <w:jc w:val="center"/>
              <w:rPr>
                <w:color w:val="000000"/>
                <w:sz w:val="14"/>
                <w:szCs w:val="14"/>
              </w:rPr>
            </w:pPr>
            <w:r w:rsidRPr="0018237F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949D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75011, par. 2010</w:t>
            </w: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34E8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-1 244,00</w:t>
            </w:r>
          </w:p>
        </w:tc>
        <w:tc>
          <w:tcPr>
            <w:tcW w:w="5339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8279B60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Zmniejszenie planu dotacji na zadania dotyczące spraw obywatelskich w związku z zawiadomieniem Wojewody Wielkopolskiego z dnia 18.02.2021r. o ostatecznych kwotach dotacji.</w:t>
            </w:r>
          </w:p>
        </w:tc>
      </w:tr>
      <w:tr w:rsidR="0010410E" w:rsidRPr="0018237F" w14:paraId="75D3E152" w14:textId="77777777" w:rsidTr="00A6750A">
        <w:trPr>
          <w:trHeight w:val="636"/>
        </w:trPr>
        <w:tc>
          <w:tcPr>
            <w:tcW w:w="4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2BCFF5E" w14:textId="77777777" w:rsidR="0010410E" w:rsidRPr="0018237F" w:rsidRDefault="0010410E" w:rsidP="003F54EC">
            <w:pPr>
              <w:jc w:val="center"/>
              <w:rPr>
                <w:color w:val="000000"/>
                <w:sz w:val="14"/>
                <w:szCs w:val="14"/>
              </w:rPr>
            </w:pPr>
            <w:r w:rsidRPr="0018237F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928A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85503, par. 2010</w:t>
            </w: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865C" w14:textId="09FEB05B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112,75</w:t>
            </w:r>
          </w:p>
        </w:tc>
        <w:tc>
          <w:tcPr>
            <w:tcW w:w="5339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5C2E432C" w14:textId="77777777" w:rsidR="0010410E" w:rsidRPr="0018237F" w:rsidRDefault="0010410E" w:rsidP="003F54EC">
            <w:pPr>
              <w:ind w:right="-115"/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 xml:space="preserve">Zwiększenie planu dotacji na realizację zadań związanych z przyznawaniem Karty Dużej Rodziny w związku z zawiadomieniem Wojewody Wielkopolskiego z dnia 12.02.2021r. </w:t>
            </w:r>
          </w:p>
        </w:tc>
      </w:tr>
      <w:tr w:rsidR="0010410E" w:rsidRPr="0018237F" w14:paraId="0A3D9AF5" w14:textId="77777777" w:rsidTr="00A6750A">
        <w:trPr>
          <w:trHeight w:val="636"/>
        </w:trPr>
        <w:tc>
          <w:tcPr>
            <w:tcW w:w="4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C780E09" w14:textId="77777777" w:rsidR="0010410E" w:rsidRPr="0018237F" w:rsidRDefault="0010410E" w:rsidP="003F54EC">
            <w:pPr>
              <w:jc w:val="center"/>
              <w:rPr>
                <w:color w:val="000000"/>
                <w:sz w:val="14"/>
                <w:szCs w:val="14"/>
              </w:rPr>
            </w:pPr>
            <w:r w:rsidRPr="0018237F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43DE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75801, par. 2920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51E6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-87 059,00</w:t>
            </w:r>
          </w:p>
        </w:tc>
        <w:tc>
          <w:tcPr>
            <w:tcW w:w="5339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39A1AB83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Zmniejszenie planu dochodów z tytułu częś</w:t>
            </w:r>
            <w:r w:rsidRPr="008452A1">
              <w:rPr>
                <w:color w:val="000000"/>
                <w:sz w:val="16"/>
                <w:szCs w:val="16"/>
              </w:rPr>
              <w:t>c</w:t>
            </w:r>
            <w:r w:rsidRPr="0018237F">
              <w:rPr>
                <w:color w:val="000000"/>
                <w:sz w:val="16"/>
                <w:szCs w:val="16"/>
              </w:rPr>
              <w:t>i oświatowej subwencji ogólnej w związku z zawiadomieniem Ministra Finansów, Funduszy i Polityki Regionalnej o ostatecznych kwotach subwencji.</w:t>
            </w:r>
          </w:p>
        </w:tc>
      </w:tr>
      <w:tr w:rsidR="0010410E" w:rsidRPr="0018237F" w14:paraId="755C892F" w14:textId="77777777" w:rsidTr="00A6750A">
        <w:trPr>
          <w:trHeight w:val="288"/>
        </w:trPr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86E5EB9" w14:textId="77777777" w:rsidR="0010410E" w:rsidRPr="0018237F" w:rsidRDefault="0010410E" w:rsidP="003F54EC">
            <w:pPr>
              <w:jc w:val="center"/>
              <w:rPr>
                <w:color w:val="000000"/>
                <w:sz w:val="14"/>
                <w:szCs w:val="14"/>
              </w:rPr>
            </w:pPr>
            <w:r w:rsidRPr="0018237F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E87A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60013, par. 6257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612B" w14:textId="1F9DF64D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 </w:t>
            </w:r>
            <w:r w:rsidR="0010410E">
              <w:rPr>
                <w:color w:val="000000"/>
                <w:sz w:val="16"/>
                <w:szCs w:val="16"/>
              </w:rPr>
              <w:t>340 000,00</w:t>
            </w:r>
          </w:p>
        </w:tc>
        <w:tc>
          <w:tcPr>
            <w:tcW w:w="5339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48E78816" w14:textId="0F94AD70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 xml:space="preserve">Zwiększenie planu dotacji na realizację zadania "Budowa infrastruktury służącej rozwojowi mobilności miejskiej na terenie Gminy Czempiń wraz z działaniami informacyjno - promocyjnymi" na podstawie </w:t>
            </w:r>
            <w:r w:rsidR="00B81DE8" w:rsidRPr="00A6750A">
              <w:rPr>
                <w:color w:val="000000"/>
                <w:sz w:val="16"/>
                <w:szCs w:val="16"/>
              </w:rPr>
              <w:t>uchwały nr 3346/2021 Zarządu Województwa Wielkopolskiego z dnia 11.03.2021r. w sprawie wyboru dofinansowania projektów w ramach konkursu nr RPWP.03.03.01-12.00-30-001/20 dla działania 3.3 „Wspieranie strategii niskoemisyjnych, w tym mobilność miejska</w:t>
            </w:r>
            <w:r w:rsidR="00A6750A" w:rsidRPr="00A6750A">
              <w:rPr>
                <w:color w:val="000000"/>
                <w:sz w:val="16"/>
                <w:szCs w:val="16"/>
              </w:rPr>
              <w:t>”, Poddziałania 3.3.1 „Inwestycje w obszarze transportu miejskiego” WRPO na lata 2014-2020.</w:t>
            </w:r>
          </w:p>
        </w:tc>
      </w:tr>
      <w:tr w:rsidR="0010410E" w:rsidRPr="0018237F" w14:paraId="5D7BE4E3" w14:textId="77777777" w:rsidTr="00A6750A">
        <w:trPr>
          <w:trHeight w:val="396"/>
        </w:trPr>
        <w:tc>
          <w:tcPr>
            <w:tcW w:w="440" w:type="dxa"/>
            <w:vMerge/>
            <w:tcBorders>
              <w:right w:val="nil"/>
            </w:tcBorders>
            <w:vAlign w:val="center"/>
            <w:hideMark/>
          </w:tcPr>
          <w:p w14:paraId="7A07BE11" w14:textId="77777777" w:rsidR="0010410E" w:rsidRPr="0018237F" w:rsidRDefault="0010410E" w:rsidP="003F54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39A1" w14:textId="77777777" w:rsidR="0010410E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60095, par. 6257</w:t>
            </w:r>
          </w:p>
          <w:p w14:paraId="161384E5" w14:textId="579C88BE" w:rsidR="00F32139" w:rsidRPr="0018237F" w:rsidRDefault="00F32139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E58FE" w14:textId="77777777" w:rsidR="0010410E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 </w:t>
            </w:r>
            <w:r w:rsidR="0010410E" w:rsidRPr="008452A1">
              <w:rPr>
                <w:color w:val="000000"/>
                <w:sz w:val="16"/>
                <w:szCs w:val="16"/>
              </w:rPr>
              <w:t>2</w:t>
            </w:r>
            <w:r w:rsidR="0010410E">
              <w:rPr>
                <w:color w:val="000000"/>
                <w:sz w:val="16"/>
                <w:szCs w:val="16"/>
              </w:rPr>
              <w:t> 96</w:t>
            </w:r>
            <w:r w:rsidR="0010410E" w:rsidRPr="008452A1">
              <w:rPr>
                <w:color w:val="000000"/>
                <w:sz w:val="16"/>
                <w:szCs w:val="16"/>
              </w:rPr>
              <w:t>6</w:t>
            </w:r>
            <w:r w:rsidR="0010410E">
              <w:rPr>
                <w:color w:val="000000"/>
                <w:sz w:val="16"/>
                <w:szCs w:val="16"/>
              </w:rPr>
              <w:t xml:space="preserve"> </w:t>
            </w:r>
            <w:r w:rsidR="0010410E" w:rsidRPr="008452A1">
              <w:rPr>
                <w:color w:val="000000"/>
                <w:sz w:val="16"/>
                <w:szCs w:val="16"/>
              </w:rPr>
              <w:t>151,06</w:t>
            </w:r>
          </w:p>
          <w:p w14:paraId="05DDFC45" w14:textId="2B36D277" w:rsidR="00F32139" w:rsidRPr="0018237F" w:rsidRDefault="00F32139" w:rsidP="003F54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vMerge/>
            <w:tcBorders>
              <w:left w:val="nil"/>
            </w:tcBorders>
            <w:vAlign w:val="center"/>
            <w:hideMark/>
          </w:tcPr>
          <w:p w14:paraId="30238396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0E992EA3" w14:textId="77777777" w:rsidTr="00A6750A">
        <w:trPr>
          <w:trHeight w:val="288"/>
        </w:trPr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508B8AB" w14:textId="77777777" w:rsidR="0010410E" w:rsidRPr="0018237F" w:rsidRDefault="0010410E" w:rsidP="003F54EC">
            <w:pPr>
              <w:jc w:val="center"/>
              <w:rPr>
                <w:color w:val="000000"/>
                <w:sz w:val="14"/>
                <w:szCs w:val="14"/>
              </w:rPr>
            </w:pPr>
            <w:r w:rsidRPr="0018237F"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8103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60003, par. 2950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4AE6" w14:textId="6BF6458F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1 118,00</w:t>
            </w:r>
          </w:p>
        </w:tc>
        <w:tc>
          <w:tcPr>
            <w:tcW w:w="5339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2149283B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Zwiększenie planu dochodów z tytułu zwrotów niewykorzystanych w 2020 roku dotacji przez Centrum Kultury Czempiń, Bibliotekę Publiczną w Czempiniu oraz Powiat Kościański.</w:t>
            </w:r>
          </w:p>
        </w:tc>
      </w:tr>
      <w:tr w:rsidR="0010410E" w:rsidRPr="0018237F" w14:paraId="7220462B" w14:textId="77777777" w:rsidTr="00A6750A">
        <w:trPr>
          <w:trHeight w:val="288"/>
        </w:trPr>
        <w:tc>
          <w:tcPr>
            <w:tcW w:w="440" w:type="dxa"/>
            <w:vMerge/>
            <w:tcBorders>
              <w:right w:val="nil"/>
            </w:tcBorders>
            <w:vAlign w:val="center"/>
            <w:hideMark/>
          </w:tcPr>
          <w:p w14:paraId="259ED678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765C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92113, par. 2950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8D2C" w14:textId="7B404725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5339" w:type="dxa"/>
            <w:vMerge/>
            <w:tcBorders>
              <w:left w:val="nil"/>
            </w:tcBorders>
            <w:vAlign w:val="center"/>
            <w:hideMark/>
          </w:tcPr>
          <w:p w14:paraId="5FFFC472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6059DE52" w14:textId="77777777" w:rsidTr="00A6750A">
        <w:trPr>
          <w:trHeight w:val="288"/>
        </w:trPr>
        <w:tc>
          <w:tcPr>
            <w:tcW w:w="440" w:type="dxa"/>
            <w:vMerge/>
            <w:tcBorders>
              <w:right w:val="nil"/>
            </w:tcBorders>
            <w:vAlign w:val="center"/>
            <w:hideMark/>
          </w:tcPr>
          <w:p w14:paraId="5B30CA05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2F8F4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92116, par. 2950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B25C" w14:textId="4D84D084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5339" w:type="dxa"/>
            <w:vMerge/>
            <w:tcBorders>
              <w:left w:val="nil"/>
            </w:tcBorders>
            <w:vAlign w:val="center"/>
            <w:hideMark/>
          </w:tcPr>
          <w:p w14:paraId="6C2847DD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4E507B30" w14:textId="77777777" w:rsidTr="00A6750A">
        <w:trPr>
          <w:trHeight w:val="408"/>
        </w:trPr>
        <w:tc>
          <w:tcPr>
            <w:tcW w:w="4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2B2E580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470D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75095, par. 0970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98C3" w14:textId="605C3C5E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4 126,00</w:t>
            </w:r>
          </w:p>
        </w:tc>
        <w:tc>
          <w:tcPr>
            <w:tcW w:w="5339" w:type="dxa"/>
            <w:tcBorders>
              <w:left w:val="nil"/>
            </w:tcBorders>
            <w:shd w:val="clear" w:color="auto" w:fill="auto"/>
            <w:hideMark/>
          </w:tcPr>
          <w:p w14:paraId="47CE3EEA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Zwiększenie planu dochodów z tytułu zwrotu kosztów poniesionych w 2020 roku</w:t>
            </w:r>
          </w:p>
        </w:tc>
      </w:tr>
      <w:tr w:rsidR="0010410E" w:rsidRPr="0018237F" w14:paraId="460B1723" w14:textId="77777777" w:rsidTr="00A6750A">
        <w:trPr>
          <w:trHeight w:val="408"/>
        </w:trPr>
        <w:tc>
          <w:tcPr>
            <w:tcW w:w="4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092B4A9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9712B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90001, par. 0970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33D3" w14:textId="566E4BBC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8 541,00</w:t>
            </w:r>
          </w:p>
        </w:tc>
        <w:tc>
          <w:tcPr>
            <w:tcW w:w="5339" w:type="dxa"/>
            <w:tcBorders>
              <w:left w:val="nil"/>
            </w:tcBorders>
            <w:shd w:val="clear" w:color="auto" w:fill="auto"/>
            <w:hideMark/>
          </w:tcPr>
          <w:p w14:paraId="5FBBE347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Zwiększenie planu dochodów z tytułu zwrotu kosztów poniesionych w 2020 roku</w:t>
            </w:r>
          </w:p>
        </w:tc>
      </w:tr>
      <w:tr w:rsidR="0010410E" w:rsidRPr="0018237F" w14:paraId="61EC1587" w14:textId="77777777" w:rsidTr="00A6750A">
        <w:trPr>
          <w:trHeight w:val="288"/>
        </w:trPr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28370EF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44C8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75816, par. 2700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A331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-121 200,00</w:t>
            </w:r>
          </w:p>
        </w:tc>
        <w:tc>
          <w:tcPr>
            <w:tcW w:w="5339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77A0766C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Zmiana klasyfikacji budżetowej środków na dopłaty do czynszów w związku z wytycznymi Ministerstwa Finansów w tym zakresie.</w:t>
            </w:r>
          </w:p>
        </w:tc>
      </w:tr>
      <w:tr w:rsidR="0010410E" w:rsidRPr="0018237F" w14:paraId="02A7B6F6" w14:textId="77777777" w:rsidTr="00A6750A">
        <w:trPr>
          <w:trHeight w:val="288"/>
        </w:trPr>
        <w:tc>
          <w:tcPr>
            <w:tcW w:w="440" w:type="dxa"/>
            <w:vMerge/>
            <w:tcBorders>
              <w:right w:val="nil"/>
            </w:tcBorders>
            <w:vAlign w:val="center"/>
            <w:hideMark/>
          </w:tcPr>
          <w:p w14:paraId="3902C578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55E0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85215, par. 2700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3E94" w14:textId="338A29B1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5339" w:type="dxa"/>
            <w:vMerge/>
            <w:tcBorders>
              <w:left w:val="nil"/>
            </w:tcBorders>
            <w:vAlign w:val="center"/>
            <w:hideMark/>
          </w:tcPr>
          <w:p w14:paraId="409A8331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0DAC7380" w14:textId="77777777" w:rsidTr="00A6750A">
        <w:trPr>
          <w:trHeight w:val="372"/>
        </w:trPr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722ABC5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8B73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75816, par. 2700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6DF3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-17 700,00</w:t>
            </w:r>
          </w:p>
        </w:tc>
        <w:tc>
          <w:tcPr>
            <w:tcW w:w="5339" w:type="dxa"/>
            <w:vMerge w:val="restart"/>
            <w:tcBorders>
              <w:left w:val="nil"/>
            </w:tcBorders>
            <w:shd w:val="clear" w:color="auto" w:fill="auto"/>
            <w:hideMark/>
          </w:tcPr>
          <w:p w14:paraId="7AB505CD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Zmiana klasyfikacji budżetowej środków na dowozy na szczepienia i organizację punktu informacji telefonicznej w związku z wytycznymi Ministerstwa Finansów w tym zakresie.</w:t>
            </w:r>
          </w:p>
        </w:tc>
      </w:tr>
      <w:tr w:rsidR="0010410E" w:rsidRPr="0018237F" w14:paraId="0C2BF13B" w14:textId="77777777" w:rsidTr="00BE1F62">
        <w:trPr>
          <w:trHeight w:val="309"/>
        </w:trPr>
        <w:tc>
          <w:tcPr>
            <w:tcW w:w="440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2BD7A9E0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CEF2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85195, par. 0970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BC1DA" w14:textId="5E7116F2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5339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53089AEA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794BDC73" w14:textId="77777777" w:rsidTr="00BE1F62">
        <w:trPr>
          <w:trHeight w:val="74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21F55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AA83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70095, par. 6290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24AFF" w14:textId="02BE6D3B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083BF3A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</w:t>
            </w:r>
            <w:r w:rsidRPr="008452A1">
              <w:rPr>
                <w:color w:val="000000"/>
                <w:sz w:val="16"/>
                <w:szCs w:val="16"/>
              </w:rPr>
              <w:t>k</w:t>
            </w:r>
            <w:r w:rsidRPr="0018237F">
              <w:rPr>
                <w:color w:val="000000"/>
                <w:sz w:val="16"/>
                <w:szCs w:val="16"/>
              </w:rPr>
              <w:t>szenie planu dochodów z tytułu wsparcia z Rządowego Funduszu Rozwoju Mieszkalnictwa na sfinansowanie działania polegającego na objęciu przez Gminę Czempiń udziałów w Społecznej Inicjatywie Mieszkaniowej "KZN-Zachodni" Sp. z o.o.</w:t>
            </w:r>
          </w:p>
        </w:tc>
      </w:tr>
      <w:tr w:rsidR="00BE1F62" w:rsidRPr="0018237F" w14:paraId="79028B69" w14:textId="77777777" w:rsidTr="00BE1F62">
        <w:trPr>
          <w:trHeight w:val="457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A00C2" w14:textId="223F3ABA" w:rsidR="00BE1F62" w:rsidRPr="0018237F" w:rsidRDefault="00BE1F62" w:rsidP="00BE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3BEBE" w14:textId="77777777" w:rsidR="00BE1F62" w:rsidRDefault="00BE1F62" w:rsidP="00BE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75616, par. 2680</w:t>
            </w:r>
          </w:p>
          <w:p w14:paraId="1A5C0DA9" w14:textId="66166DB8" w:rsidR="00BE1F62" w:rsidRPr="0018237F" w:rsidRDefault="00BE1F62" w:rsidP="00BE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75618, par. 2680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179BF" w14:textId="77777777" w:rsidR="00BE1F62" w:rsidRDefault="00BE1F62" w:rsidP="00BE1F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-4 783,20</w:t>
            </w:r>
          </w:p>
          <w:p w14:paraId="5884D78C" w14:textId="077B2D5C" w:rsidR="00BE1F62" w:rsidRPr="0018237F" w:rsidRDefault="00BE1F62" w:rsidP="00BE1F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+4 783,20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B4DF6D0" w14:textId="10968560" w:rsidR="00BE1F62" w:rsidRPr="0018237F" w:rsidRDefault="00BE1F62" w:rsidP="00BE1F62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 xml:space="preserve">Zmiana klasyfikacji budżetowej środków na </w:t>
            </w:r>
            <w:r>
              <w:rPr>
                <w:color w:val="000000"/>
                <w:sz w:val="16"/>
                <w:szCs w:val="16"/>
              </w:rPr>
              <w:t>rekompensatę za niepobieranie od 1 stycznia 2021r. do 31 grudnia 2021r. opłaty targowej</w:t>
            </w:r>
            <w:r w:rsidRPr="0018237F">
              <w:rPr>
                <w:color w:val="000000"/>
                <w:sz w:val="16"/>
                <w:szCs w:val="16"/>
              </w:rPr>
              <w:t xml:space="preserve"> w związku z wytycznymi Ministerstwa Finansów w tym zakresie.</w:t>
            </w:r>
          </w:p>
        </w:tc>
      </w:tr>
      <w:tr w:rsidR="000D496B" w:rsidRPr="0018237F" w14:paraId="42EC7A93" w14:textId="77777777" w:rsidTr="00BE1F62">
        <w:trPr>
          <w:trHeight w:val="457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77A15" w14:textId="5D26D206" w:rsidR="000D496B" w:rsidRDefault="000D496B" w:rsidP="00BE1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33CA3" w14:textId="7F95E51E" w:rsidR="000D496B" w:rsidRDefault="000D496B" w:rsidP="00BE1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85230, par. 2030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A1E39" w14:textId="26FE75EB" w:rsidR="000D496B" w:rsidRDefault="000D496B" w:rsidP="00BE1F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+110 451,20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A61E7E" w14:textId="043CE0DC" w:rsidR="000D496B" w:rsidRPr="0018237F" w:rsidRDefault="000D496B" w:rsidP="00BE1F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Zwiększenie planu dotacji </w:t>
            </w:r>
            <w:r w:rsidRPr="000D496B">
              <w:rPr>
                <w:sz w:val="16"/>
                <w:szCs w:val="16"/>
              </w:rPr>
              <w:t>na realizację wieloletniego programu rządowego „Posiłek w szkole</w:t>
            </w:r>
            <w:r>
              <w:rPr>
                <w:sz w:val="16"/>
                <w:szCs w:val="16"/>
              </w:rPr>
              <w:t xml:space="preserve"> </w:t>
            </w:r>
            <w:r w:rsidRPr="000D496B">
              <w:rPr>
                <w:sz w:val="16"/>
                <w:szCs w:val="16"/>
              </w:rPr>
              <w:t>i w domu” na lata 2019-2023</w:t>
            </w:r>
            <w:r>
              <w:rPr>
                <w:sz w:val="16"/>
                <w:szCs w:val="16"/>
              </w:rPr>
              <w:t xml:space="preserve"> zgodnie z zawiadomieniem </w:t>
            </w:r>
            <w:r w:rsidRPr="00527504">
              <w:rPr>
                <w:sz w:val="16"/>
                <w:szCs w:val="16"/>
              </w:rPr>
              <w:t xml:space="preserve">Wojewody </w:t>
            </w:r>
            <w:proofErr w:type="spellStart"/>
            <w:r w:rsidRPr="00527504">
              <w:rPr>
                <w:sz w:val="16"/>
                <w:szCs w:val="16"/>
              </w:rPr>
              <w:t>Wlkp</w:t>
            </w:r>
            <w:proofErr w:type="spellEnd"/>
            <w:r w:rsidRPr="00527504">
              <w:rPr>
                <w:sz w:val="16"/>
                <w:szCs w:val="16"/>
              </w:rPr>
              <w:t xml:space="preserve"> z dnia </w:t>
            </w:r>
            <w:r w:rsidR="00527504" w:rsidRPr="00527504">
              <w:rPr>
                <w:sz w:val="16"/>
                <w:szCs w:val="16"/>
              </w:rPr>
              <w:t>17.03</w:t>
            </w:r>
            <w:r w:rsidR="00527504">
              <w:rPr>
                <w:sz w:val="16"/>
                <w:szCs w:val="16"/>
              </w:rPr>
              <w:t>.2021r.</w:t>
            </w:r>
          </w:p>
        </w:tc>
      </w:tr>
    </w:tbl>
    <w:p w14:paraId="6E551372" w14:textId="77777777" w:rsidR="0010410E" w:rsidRPr="008452A1" w:rsidRDefault="0010410E" w:rsidP="0010410E">
      <w:pPr>
        <w:jc w:val="both"/>
        <w:rPr>
          <w:b/>
          <w:sz w:val="20"/>
          <w:szCs w:val="20"/>
        </w:rPr>
      </w:pPr>
    </w:p>
    <w:p w14:paraId="50D7FD5D" w14:textId="45539EFD" w:rsidR="0010410E" w:rsidRDefault="0010410E" w:rsidP="0010410E">
      <w:pPr>
        <w:jc w:val="both"/>
        <w:rPr>
          <w:b/>
          <w:sz w:val="20"/>
          <w:szCs w:val="20"/>
        </w:rPr>
      </w:pPr>
      <w:bookmarkStart w:id="1" w:name="_Hlk50971813"/>
      <w:bookmarkStart w:id="2" w:name="_Hlk43361659"/>
      <w:r w:rsidRPr="008452A1">
        <w:rPr>
          <w:b/>
          <w:sz w:val="20"/>
          <w:szCs w:val="20"/>
        </w:rPr>
        <w:t>WYDATKI:</w:t>
      </w:r>
    </w:p>
    <w:p w14:paraId="340726FA" w14:textId="77777777" w:rsidR="0010410E" w:rsidRPr="008452A1" w:rsidRDefault="0010410E" w:rsidP="0010410E">
      <w:pPr>
        <w:jc w:val="both"/>
        <w:rPr>
          <w:b/>
          <w:sz w:val="20"/>
          <w:szCs w:val="20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00"/>
        <w:gridCol w:w="1360"/>
        <w:gridCol w:w="5200"/>
      </w:tblGrid>
      <w:tr w:rsidR="0010410E" w:rsidRPr="0018237F" w14:paraId="7ED84FB5" w14:textId="77777777" w:rsidTr="0010410E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bookmarkEnd w:id="2"/>
          <w:p w14:paraId="091FC9DB" w14:textId="77777777" w:rsidR="0010410E" w:rsidRPr="0018237F" w:rsidRDefault="0010410E" w:rsidP="003F5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37F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8DB5" w14:textId="77777777" w:rsidR="0010410E" w:rsidRPr="0018237F" w:rsidRDefault="0010410E" w:rsidP="003F5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37F">
              <w:rPr>
                <w:b/>
                <w:bCs/>
                <w:color w:val="000000"/>
                <w:sz w:val="16"/>
                <w:szCs w:val="16"/>
              </w:rPr>
              <w:t>Klasyfikacja budżetowa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269A" w14:textId="77777777" w:rsidR="0010410E" w:rsidRPr="0018237F" w:rsidRDefault="0010410E" w:rsidP="003F5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37F">
              <w:rPr>
                <w:b/>
                <w:bCs/>
                <w:color w:val="000000"/>
                <w:sz w:val="16"/>
                <w:szCs w:val="16"/>
              </w:rPr>
              <w:t>Kwota zmian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1D794" w14:textId="77777777" w:rsidR="0010410E" w:rsidRPr="0018237F" w:rsidRDefault="0010410E" w:rsidP="003F5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37F">
              <w:rPr>
                <w:b/>
                <w:bCs/>
                <w:color w:val="000000"/>
                <w:sz w:val="16"/>
                <w:szCs w:val="16"/>
              </w:rPr>
              <w:t>Opis zmian</w:t>
            </w:r>
          </w:p>
        </w:tc>
      </w:tr>
      <w:tr w:rsidR="0010410E" w:rsidRPr="0018237F" w14:paraId="2F9E4FC0" w14:textId="77777777" w:rsidTr="0010410E">
        <w:trPr>
          <w:trHeight w:val="52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833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9B3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75023, par. 4610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E475" w14:textId="7062F23B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21A78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Zwiększenie planu wydatków na opłaty sądowe dokonywane przez Urząd w ramach prowadzonych zadań</w:t>
            </w:r>
          </w:p>
        </w:tc>
      </w:tr>
      <w:tr w:rsidR="0010410E" w:rsidRPr="0018237F" w14:paraId="50229D88" w14:textId="77777777" w:rsidTr="003F54EC">
        <w:trPr>
          <w:trHeight w:val="43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0A4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1823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7FE3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63095, par. 4300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1F46" w14:textId="1EF3A431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2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7AB48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Zwiększenie planu wydatków na usługi związane z utrzymaniem ścieżek edukacyjnych.</w:t>
            </w:r>
          </w:p>
        </w:tc>
      </w:tr>
      <w:tr w:rsidR="0010410E" w:rsidRPr="0018237F" w14:paraId="75551D52" w14:textId="77777777" w:rsidTr="003F54EC">
        <w:trPr>
          <w:trHeight w:val="636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2F8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1823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18C3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01095, par. 6050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9D32" w14:textId="03EEAEDE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1 053,00</w:t>
            </w:r>
          </w:p>
        </w:tc>
        <w:tc>
          <w:tcPr>
            <w:tcW w:w="52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57562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</w:t>
            </w:r>
            <w:r>
              <w:rPr>
                <w:color w:val="000000"/>
                <w:sz w:val="16"/>
                <w:szCs w:val="16"/>
              </w:rPr>
              <w:t>k</w:t>
            </w:r>
            <w:r w:rsidRPr="0018237F">
              <w:rPr>
                <w:color w:val="000000"/>
                <w:sz w:val="16"/>
                <w:szCs w:val="16"/>
              </w:rPr>
              <w:t>szenie planu wydatków na zadanie ""Integracja super sprawa - rodzic, dziecko i zabawa" - utworzenie strefy rekreacji we wsi Stare Tarnowo w ramach konkursu Pięknieje Wielkopolska Wieś".</w:t>
            </w:r>
          </w:p>
        </w:tc>
      </w:tr>
      <w:tr w:rsidR="0010410E" w:rsidRPr="0018237F" w14:paraId="05D21873" w14:textId="77777777" w:rsidTr="000D496B">
        <w:trPr>
          <w:trHeight w:val="71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222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  <w:r w:rsidRPr="001823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6931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85503, par. 4210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6AA6" w14:textId="2BB2408C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112,75</w:t>
            </w:r>
          </w:p>
        </w:tc>
        <w:tc>
          <w:tcPr>
            <w:tcW w:w="52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620B9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Zwiększenie planu wydatków na realizację zadań związanych z przyznawaniem Karty Dużej Rodziny w związku ze zwiększeniem planu dotacji na ten cel.</w:t>
            </w:r>
          </w:p>
        </w:tc>
      </w:tr>
      <w:tr w:rsidR="0010410E" w:rsidRPr="0018237F" w14:paraId="76CE1F32" w14:textId="77777777" w:rsidTr="000D496B">
        <w:trPr>
          <w:trHeight w:val="454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2F1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823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A61B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75011, par. 4010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62DA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-1 244,00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F2793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Zmniejszenie planu wydatków na zadania dotyczące spraw obywatelskich w związku ze zmniejszeniem planu dotacji na ten cel.</w:t>
            </w:r>
          </w:p>
        </w:tc>
      </w:tr>
      <w:tr w:rsidR="0010410E" w:rsidRPr="0018237F" w14:paraId="4B9B41EF" w14:textId="77777777" w:rsidTr="000D496B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779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1823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95F8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60016, par. 4590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0BFB" w14:textId="5C48F26D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4818F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Zwiększenie planu wydatków  na odszkodowania za grunty na ul. Tarnowskiej.</w:t>
            </w:r>
          </w:p>
        </w:tc>
      </w:tr>
      <w:tr w:rsidR="0010410E" w:rsidRPr="0018237F" w14:paraId="19B1069F" w14:textId="77777777" w:rsidTr="003F54E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8C0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1823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8F2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92109, par. 4270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A26C" w14:textId="7589348F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2 650,00</w:t>
            </w:r>
          </w:p>
        </w:tc>
        <w:tc>
          <w:tcPr>
            <w:tcW w:w="52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1E027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Zwiększenie planu wydatków na naprawę dachu na świetlicy w Donatowie.</w:t>
            </w:r>
          </w:p>
        </w:tc>
      </w:tr>
      <w:tr w:rsidR="0010410E" w:rsidRPr="0018237F" w14:paraId="72275F13" w14:textId="77777777" w:rsidTr="003F54EC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BC0F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1823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D64B10" w14:textId="66220D58" w:rsidR="0010410E" w:rsidRPr="00DD5AFD" w:rsidRDefault="0010410E" w:rsidP="003F54EC">
            <w:pPr>
              <w:rPr>
                <w:color w:val="000000"/>
                <w:sz w:val="16"/>
                <w:szCs w:val="16"/>
              </w:rPr>
            </w:pPr>
            <w:r w:rsidRPr="00DD5AFD">
              <w:rPr>
                <w:color w:val="000000"/>
                <w:sz w:val="16"/>
                <w:szCs w:val="16"/>
              </w:rPr>
              <w:t>60013, par. 6</w:t>
            </w:r>
            <w:r w:rsidR="00184D60" w:rsidRPr="00DD5AFD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A86D2" w14:textId="4F7F3013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5200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2F03E" w14:textId="3690008F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W związku z otrzymaniem dofinansowania na zadanie "Budowa infrastruktury służącej rozwojowi mobilności miejskiej na terenie Gminy Czempiń wraz z działaniami informacyjno - promocyjnymi" zabezpiecza się wkład finansowany dotacją</w:t>
            </w:r>
            <w:r w:rsidR="00EA60E7">
              <w:rPr>
                <w:color w:val="000000"/>
                <w:sz w:val="16"/>
                <w:szCs w:val="16"/>
              </w:rPr>
              <w:t xml:space="preserve"> – przekazanie do Samorządu Województwa kwoty 340.000 (dofinansowanie UE) zł i 60.000 (środki z Gminy Czempiń jako na wkł</w:t>
            </w:r>
            <w:r w:rsidR="00A14A1A">
              <w:rPr>
                <w:color w:val="000000"/>
                <w:sz w:val="16"/>
                <w:szCs w:val="16"/>
              </w:rPr>
              <w:t>a</w:t>
            </w:r>
            <w:r w:rsidR="00EA60E7">
              <w:rPr>
                <w:color w:val="000000"/>
                <w:sz w:val="16"/>
                <w:szCs w:val="16"/>
              </w:rPr>
              <w:t xml:space="preserve">d własny) na odszkodowania za przejęte grunty, </w:t>
            </w:r>
            <w:proofErr w:type="spellStart"/>
            <w:r w:rsidR="00EA60E7">
              <w:rPr>
                <w:color w:val="000000"/>
                <w:sz w:val="16"/>
                <w:szCs w:val="16"/>
              </w:rPr>
              <w:t>przekaznaie</w:t>
            </w:r>
            <w:proofErr w:type="spellEnd"/>
            <w:r w:rsidR="00EA60E7">
              <w:rPr>
                <w:color w:val="000000"/>
                <w:sz w:val="16"/>
                <w:szCs w:val="16"/>
              </w:rPr>
              <w:t xml:space="preserve"> do Powiatu Kościańskiego kwoty 170.000 zł (środki UE) na wykupy gruntów oraz reszta środków na zadania inwestycyjne realizowane przez Gminę Czempiń. </w:t>
            </w:r>
          </w:p>
        </w:tc>
      </w:tr>
      <w:tr w:rsidR="0010410E" w:rsidRPr="0018237F" w14:paraId="44A174D1" w14:textId="77777777" w:rsidTr="003F54EC">
        <w:trPr>
          <w:trHeight w:val="288"/>
        </w:trPr>
        <w:tc>
          <w:tcPr>
            <w:tcW w:w="44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6B7752F6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B69955" w14:textId="728004D8" w:rsidR="0010410E" w:rsidRPr="00DD5AFD" w:rsidRDefault="0010410E" w:rsidP="003F54EC">
            <w:pPr>
              <w:rPr>
                <w:color w:val="000000"/>
                <w:sz w:val="16"/>
                <w:szCs w:val="16"/>
              </w:rPr>
            </w:pPr>
            <w:r w:rsidRPr="00DD5AFD">
              <w:rPr>
                <w:color w:val="000000"/>
                <w:sz w:val="16"/>
                <w:szCs w:val="16"/>
              </w:rPr>
              <w:t>60013, par. 6</w:t>
            </w:r>
            <w:r w:rsidR="00F32139" w:rsidRPr="00DD5AFD">
              <w:rPr>
                <w:color w:val="000000"/>
                <w:sz w:val="16"/>
                <w:szCs w:val="16"/>
              </w:rPr>
              <w:t>63</w:t>
            </w:r>
            <w:r w:rsidR="00184D60" w:rsidRPr="00DD5A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5365D" w14:textId="5D643BD7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20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39A33127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  <w:highlight w:val="red"/>
              </w:rPr>
            </w:pPr>
          </w:p>
        </w:tc>
      </w:tr>
      <w:tr w:rsidR="0010410E" w:rsidRPr="0018237F" w14:paraId="60E5B2C4" w14:textId="77777777" w:rsidTr="003F54EC">
        <w:trPr>
          <w:trHeight w:val="288"/>
        </w:trPr>
        <w:tc>
          <w:tcPr>
            <w:tcW w:w="44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10B52FE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7B7E51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60013, par. 6300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A9AB10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520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2E146EA6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  <w:highlight w:val="red"/>
              </w:rPr>
            </w:pPr>
          </w:p>
        </w:tc>
      </w:tr>
      <w:tr w:rsidR="0010410E" w:rsidRPr="0018237F" w14:paraId="437C58FC" w14:textId="77777777" w:rsidTr="003F54EC">
        <w:trPr>
          <w:trHeight w:val="288"/>
        </w:trPr>
        <w:tc>
          <w:tcPr>
            <w:tcW w:w="44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07E896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72A519" w14:textId="0FE89801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60095, par. 6</w:t>
            </w:r>
            <w:r w:rsidR="00A6750A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348B6C" w14:textId="6958995E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>
              <w:rPr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520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D571D2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060E93F9" w14:textId="77777777" w:rsidTr="003F54EC">
        <w:trPr>
          <w:trHeight w:val="288"/>
        </w:trPr>
        <w:tc>
          <w:tcPr>
            <w:tcW w:w="44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146E9145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7AFBF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60095, par. 6057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E2E9E" w14:textId="0700AB6E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 </w:t>
            </w:r>
            <w:r w:rsidR="0010410E">
              <w:rPr>
                <w:color w:val="000000"/>
                <w:sz w:val="16"/>
                <w:szCs w:val="16"/>
              </w:rPr>
              <w:t>2 796 151,06</w:t>
            </w:r>
          </w:p>
        </w:tc>
        <w:tc>
          <w:tcPr>
            <w:tcW w:w="520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303F4388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1341A02E" w14:textId="77777777" w:rsidTr="003F54EC">
        <w:trPr>
          <w:trHeight w:val="288"/>
        </w:trPr>
        <w:tc>
          <w:tcPr>
            <w:tcW w:w="44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784F6995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266D4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60095, par. 6059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7F837F" w14:textId="3FBD4D3D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 </w:t>
            </w:r>
            <w:r w:rsidR="00DB5E54">
              <w:rPr>
                <w:color w:val="000000"/>
                <w:sz w:val="16"/>
                <w:szCs w:val="16"/>
              </w:rPr>
              <w:t>850</w:t>
            </w:r>
            <w:r w:rsidR="0010410E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520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56E4669E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117412D2" w14:textId="77777777" w:rsidTr="003F54EC">
        <w:trPr>
          <w:trHeight w:val="288"/>
        </w:trPr>
        <w:tc>
          <w:tcPr>
            <w:tcW w:w="44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57AAC3F3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6CE" w14:textId="6356BCD5" w:rsidR="00F32139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60095, par. 6050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8B66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-510 000,00</w:t>
            </w:r>
          </w:p>
        </w:tc>
        <w:tc>
          <w:tcPr>
            <w:tcW w:w="520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01C58460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0A375901" w14:textId="77777777" w:rsidTr="003F54EC">
        <w:trPr>
          <w:trHeight w:val="40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C1C2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F42F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70095, par. 6010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E92" w14:textId="215831E7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B054E" w14:textId="77777777" w:rsidR="0010410E" w:rsidRPr="0018237F" w:rsidRDefault="0010410E" w:rsidP="003F54EC">
            <w:pPr>
              <w:jc w:val="both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Zwię</w:t>
            </w:r>
            <w:r w:rsidRPr="008452A1">
              <w:rPr>
                <w:color w:val="000000"/>
                <w:sz w:val="16"/>
                <w:szCs w:val="16"/>
              </w:rPr>
              <w:t>k</w:t>
            </w:r>
            <w:r w:rsidRPr="0018237F">
              <w:rPr>
                <w:color w:val="000000"/>
                <w:sz w:val="16"/>
                <w:szCs w:val="16"/>
              </w:rPr>
              <w:t>szenie planu wydatków na zakup udziałów w  Społecznej Inicjatywie Mieszkaniowej "KZN-Zachodni" Sp. z o.o.</w:t>
            </w:r>
          </w:p>
        </w:tc>
      </w:tr>
      <w:tr w:rsidR="0010410E" w:rsidRPr="0018237F" w14:paraId="2B90D561" w14:textId="77777777" w:rsidTr="003F54E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5E42C6" w14:textId="77777777" w:rsidR="0010410E" w:rsidRPr="0018237F" w:rsidRDefault="0010410E" w:rsidP="003F54EC">
            <w:pPr>
              <w:jc w:val="center"/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18237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D61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80101, par. 6050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159A" w14:textId="583AB717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95 992,68</w:t>
            </w:r>
          </w:p>
        </w:tc>
        <w:tc>
          <w:tcPr>
            <w:tcW w:w="52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1C73BD" w14:textId="35FF2C45" w:rsidR="0010410E" w:rsidRPr="0018237F" w:rsidRDefault="00142ECD" w:rsidP="003F54E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 związku z wyrokiem Sądu Okręgowego w Poznaniu w sprawie o zapłatę wprowadza się zadanie „Generalny remont, przebudowa z rozbudową budynków Szkoły Podstawowej im. Bohaterów Westerplatte w Czempiniu </w:t>
            </w:r>
            <w:r>
              <w:rPr>
                <w:color w:val="000000"/>
                <w:sz w:val="16"/>
                <w:szCs w:val="16"/>
              </w:rPr>
              <w:br/>
              <w:t xml:space="preserve">w ramach rewitalizacji miasta Czempinia - etap I - remont dachów </w:t>
            </w:r>
            <w:r>
              <w:rPr>
                <w:color w:val="000000"/>
                <w:sz w:val="16"/>
                <w:szCs w:val="16"/>
              </w:rPr>
              <w:br/>
              <w:t xml:space="preserve">i sanitariatów”, którego sprawa dotyczyła – zadanie realizowane było przez Gminę Czempiń w 2014 roku; w wyniku sporu sądowego dotyczącego wysokości wynagrodzenia wykonawcy, zgodnie z wyrokiem Sądu Okręgowego </w:t>
            </w:r>
            <w:r>
              <w:rPr>
                <w:color w:val="000000"/>
                <w:sz w:val="16"/>
                <w:szCs w:val="16"/>
              </w:rPr>
              <w:br/>
              <w:t>w Poznaniu – konieczne jest uregulowanie spornej płatności wraz z odsetkami i kosztami postępowania na rzecz wykonawcy inwestycji. </w:t>
            </w:r>
          </w:p>
        </w:tc>
      </w:tr>
      <w:tr w:rsidR="0010410E" w:rsidRPr="0018237F" w14:paraId="6410BC27" w14:textId="77777777" w:rsidTr="000D496B">
        <w:trPr>
          <w:trHeight w:val="68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56BB29" w14:textId="77777777" w:rsidR="0010410E" w:rsidRPr="0018237F" w:rsidRDefault="0010410E" w:rsidP="003F54E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56F455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80101, par. 45</w:t>
            </w:r>
            <w:r>
              <w:rPr>
                <w:color w:val="000000"/>
                <w:sz w:val="16"/>
                <w:szCs w:val="16"/>
              </w:rPr>
              <w:t>8</w:t>
            </w:r>
            <w:r w:rsidRPr="001823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E80BA9" w14:textId="5F8ED6B4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+55 916,66</w:t>
            </w:r>
          </w:p>
        </w:tc>
        <w:tc>
          <w:tcPr>
            <w:tcW w:w="52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B1447BB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410E" w:rsidRPr="0018237F" w14:paraId="21BD625E" w14:textId="77777777" w:rsidTr="000D496B">
        <w:trPr>
          <w:trHeight w:val="12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2198" w14:textId="77777777" w:rsidR="0010410E" w:rsidRPr="0018237F" w:rsidRDefault="0010410E" w:rsidP="003F54E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C6F7" w14:textId="77777777" w:rsidR="0010410E" w:rsidRPr="0018237F" w:rsidRDefault="0010410E" w:rsidP="003F54EC">
            <w:pPr>
              <w:rPr>
                <w:color w:val="000000"/>
                <w:sz w:val="16"/>
                <w:szCs w:val="16"/>
              </w:rPr>
            </w:pPr>
            <w:r w:rsidRPr="0018237F">
              <w:rPr>
                <w:color w:val="000000"/>
                <w:sz w:val="16"/>
                <w:szCs w:val="16"/>
              </w:rPr>
              <w:t>80101, par. 4610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F095" w14:textId="05CFA012" w:rsidR="0010410E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10410E" w:rsidRPr="0018237F">
              <w:rPr>
                <w:color w:val="000000"/>
                <w:sz w:val="16"/>
                <w:szCs w:val="16"/>
              </w:rPr>
              <w:t>14 752,82</w:t>
            </w:r>
          </w:p>
        </w:tc>
        <w:tc>
          <w:tcPr>
            <w:tcW w:w="52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B71E6" w14:textId="77777777" w:rsidR="0010410E" w:rsidRPr="0018237F" w:rsidRDefault="0010410E" w:rsidP="003F54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3310D" w:rsidRPr="0018237F" w14:paraId="27B9AC2D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D1FF3" w14:textId="74E33A91" w:rsidR="0043310D" w:rsidRPr="0043310D" w:rsidRDefault="0043310D" w:rsidP="003F54EC">
            <w:pPr>
              <w:rPr>
                <w:sz w:val="16"/>
                <w:szCs w:val="16"/>
              </w:rPr>
            </w:pPr>
            <w:r w:rsidRPr="0043310D">
              <w:rPr>
                <w:sz w:val="16"/>
                <w:szCs w:val="16"/>
              </w:rPr>
              <w:t>11.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5F9A00" w14:textId="396F8ED7" w:rsidR="0043310D" w:rsidRPr="0018237F" w:rsidRDefault="0043310D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60016, par. 6050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3BB0E" w14:textId="093C7C81" w:rsidR="0043310D" w:rsidRPr="0018237F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43310D">
              <w:rPr>
                <w:color w:val="000000"/>
                <w:sz w:val="16"/>
                <w:szCs w:val="16"/>
              </w:rPr>
              <w:t>2 550 000,00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4BE5C0" w14:textId="0B98FB2D" w:rsidR="0043310D" w:rsidRPr="0018237F" w:rsidRDefault="0043310D" w:rsidP="0043310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Wprowadzenie zadań inwestycyjnych „</w:t>
            </w:r>
            <w:r w:rsidRPr="0043310D">
              <w:rPr>
                <w:color w:val="000000"/>
                <w:sz w:val="16"/>
                <w:szCs w:val="16"/>
              </w:rPr>
              <w:t>Przebudowa ulic na terenie miasta Czempinia: ul. Krętej, ul. Podgórnej, ul. X-lecia RKS, odnogi od ul. Poznańskie Przemieście oraz odnogi ul. Spółdzielców</w:t>
            </w:r>
            <w:r>
              <w:rPr>
                <w:color w:val="000000"/>
                <w:sz w:val="16"/>
                <w:szCs w:val="16"/>
              </w:rPr>
              <w:t>” (1.350.000 zł) oraz „</w:t>
            </w:r>
            <w:r w:rsidRPr="0043310D">
              <w:rPr>
                <w:color w:val="000000"/>
                <w:sz w:val="16"/>
                <w:szCs w:val="16"/>
              </w:rPr>
              <w:t xml:space="preserve">Budowa drogi z Donatowa w kierunku </w:t>
            </w:r>
            <w:proofErr w:type="spellStart"/>
            <w:r w:rsidRPr="0043310D">
              <w:rPr>
                <w:color w:val="000000"/>
                <w:sz w:val="16"/>
                <w:szCs w:val="16"/>
              </w:rPr>
              <w:t>Rąbinia</w:t>
            </w:r>
            <w:proofErr w:type="spellEnd"/>
            <w:r w:rsidRPr="0043310D">
              <w:rPr>
                <w:color w:val="000000"/>
                <w:sz w:val="16"/>
                <w:szCs w:val="16"/>
              </w:rPr>
              <w:t xml:space="preserve"> do granicy Gminy</w:t>
            </w:r>
            <w:r>
              <w:rPr>
                <w:color w:val="000000"/>
                <w:sz w:val="16"/>
                <w:szCs w:val="16"/>
              </w:rPr>
              <w:t xml:space="preserve"> (1.200.000 zł). Zadania realizowane będą z niewykorzystanych w 2020 roku środków z Rządowego Funduszu Inwestycji Lokalnych.</w:t>
            </w:r>
          </w:p>
        </w:tc>
      </w:tr>
      <w:tr w:rsidR="0043310D" w:rsidRPr="0018237F" w14:paraId="1A48DD0A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B9B66" w14:textId="7BEF9F34" w:rsidR="0043310D" w:rsidRPr="0043310D" w:rsidRDefault="0043310D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E5660D" w14:textId="66ADC938" w:rsidR="0043310D" w:rsidRDefault="0043310D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85154, par. 4300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9044D" w14:textId="7081098C" w:rsidR="0043310D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43310D">
              <w:rPr>
                <w:color w:val="000000"/>
                <w:sz w:val="16"/>
                <w:szCs w:val="16"/>
              </w:rPr>
              <w:t>61 759,35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76AFF4" w14:textId="462150DE" w:rsidR="0043310D" w:rsidRDefault="0043310D" w:rsidP="0043310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Zwiększenie planu wydatków ujętych w gminnym programie przeciwdziałania alkoholizmowi o niezrealizowany plan w 2020 roku.</w:t>
            </w:r>
          </w:p>
        </w:tc>
      </w:tr>
      <w:tr w:rsidR="00BE1F62" w:rsidRPr="0018237F" w14:paraId="2F795C78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73D5D" w14:textId="4557B9A9" w:rsidR="00BE1F62" w:rsidRDefault="00BE1F62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A1193" w14:textId="6C276934" w:rsidR="00BE1F62" w:rsidRDefault="00BE1F62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92695, par. 4360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0E063" w14:textId="3A5E02DF" w:rsidR="00BE1F62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+8 000,00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8D0159" w14:textId="34727FC2" w:rsidR="00BE1F62" w:rsidRDefault="00BE1F62" w:rsidP="0043310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Zwięszenie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planu wydatków na usługi Internet związane z monitoringiem stref rekreacji w Gminie.</w:t>
            </w:r>
          </w:p>
        </w:tc>
      </w:tr>
      <w:tr w:rsidR="00BE1F62" w:rsidRPr="0018237F" w14:paraId="68AEA76B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85565" w14:textId="6C278F3E" w:rsidR="00BE1F62" w:rsidRDefault="00BE1F62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0B140" w14:textId="02D3CD64" w:rsidR="00BE1F62" w:rsidRDefault="00BE1F62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75023, par. 4390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CA883" w14:textId="0A858362" w:rsidR="00BE1F62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+10 000,00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796F46" w14:textId="77F46B70" w:rsidR="00BE1F62" w:rsidRDefault="00BE1F62" w:rsidP="0043310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Zwiększenie planu wydatków na wykonanie opinii biegłego w zakresie podatku od nieruchomości.</w:t>
            </w:r>
          </w:p>
        </w:tc>
      </w:tr>
      <w:tr w:rsidR="00BE1F62" w:rsidRPr="0018237F" w14:paraId="216341AF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68F95" w14:textId="5E40CC75" w:rsidR="00BE1F62" w:rsidRDefault="00BE1F62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EF7FC" w14:textId="5D9FEC21" w:rsidR="00BE1F62" w:rsidRDefault="00BE1F62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60016, par. 4300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9C4281" w14:textId="3DE08235" w:rsidR="00BE1F62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+2 600,00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04566" w14:textId="19011F7C" w:rsidR="00BE1F62" w:rsidRDefault="00BE1F62" w:rsidP="0043310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Zwiększenie planu wydatków na usługi związane z bezgotówkowymi transakcjami biletomatu.</w:t>
            </w:r>
          </w:p>
        </w:tc>
      </w:tr>
      <w:tr w:rsidR="00BE1F62" w:rsidRPr="0018237F" w14:paraId="5F8AD949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E45BF" w14:textId="78E20FF5" w:rsidR="00BE1F62" w:rsidRDefault="00BE1F62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60E90" w14:textId="77777777" w:rsidR="00BE1F62" w:rsidRDefault="00BE1F62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92695, par. 4270</w:t>
            </w:r>
          </w:p>
          <w:p w14:paraId="0D269C36" w14:textId="62BC7AC4" w:rsidR="00BE1F62" w:rsidRDefault="00BE1F62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92695, par. 4210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69FD6" w14:textId="77777777" w:rsidR="00BE1F62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-1 800,00</w:t>
            </w:r>
          </w:p>
          <w:p w14:paraId="1D4385C8" w14:textId="78D6A102" w:rsidR="00BE1F62" w:rsidRDefault="00BE1F62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+1 800,00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700C0B" w14:textId="22502ABE" w:rsidR="00BE1F62" w:rsidRDefault="00BE1F62" w:rsidP="0043310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Przesunięcie środków w ramach funduszu sołeckiego wsi Donatowo – zakupy dot. placu zabaw.</w:t>
            </w:r>
          </w:p>
        </w:tc>
      </w:tr>
      <w:tr w:rsidR="000D496B" w:rsidRPr="0018237F" w14:paraId="1DC25B9A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F298B" w14:textId="5BCADA5F" w:rsidR="000D496B" w:rsidRDefault="000D496B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97B70" w14:textId="18BED1D3" w:rsidR="000D496B" w:rsidRDefault="000D496B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85230, par. 3110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1252C" w14:textId="08E75864" w:rsidR="000D496B" w:rsidRDefault="000D496B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+110 451,20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0BC646" w14:textId="5E304FC7" w:rsidR="000D496B" w:rsidRDefault="000D496B" w:rsidP="0043310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Zwiększenie planu </w:t>
            </w:r>
            <w:r w:rsidRPr="000D496B">
              <w:rPr>
                <w:color w:val="000000"/>
                <w:sz w:val="16"/>
                <w:szCs w:val="16"/>
              </w:rPr>
              <w:t xml:space="preserve">wydatków </w:t>
            </w:r>
            <w:r w:rsidRPr="000D496B">
              <w:rPr>
                <w:sz w:val="16"/>
                <w:szCs w:val="16"/>
              </w:rPr>
              <w:t>na realizację wieloletniego programu rządowego „Posiłek w szkole</w:t>
            </w:r>
            <w:r>
              <w:rPr>
                <w:sz w:val="16"/>
                <w:szCs w:val="16"/>
              </w:rPr>
              <w:t xml:space="preserve"> </w:t>
            </w:r>
            <w:r w:rsidRPr="000D496B">
              <w:rPr>
                <w:sz w:val="16"/>
                <w:szCs w:val="16"/>
              </w:rPr>
              <w:t>i w domu” na lata 2019-2023 w związku ze zwiększeniem planu dotacji na ten cel.</w:t>
            </w:r>
          </w:p>
        </w:tc>
      </w:tr>
      <w:tr w:rsidR="0009662D" w:rsidRPr="0018237F" w14:paraId="51449D54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EE2B2" w14:textId="6A13D240" w:rsidR="0009662D" w:rsidRDefault="0009662D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9B974A" w14:textId="5E1BD0E4" w:rsidR="0009662D" w:rsidRDefault="0009662D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92695, 6050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7B670" w14:textId="0C761A36" w:rsidR="0009662D" w:rsidRDefault="0009662D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+15 000,00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EEE9C" w14:textId="75D99605" w:rsidR="0009662D" w:rsidRDefault="0009662D" w:rsidP="0043310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Zwięszenie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planu wydatków na zadanie „</w:t>
            </w:r>
            <w:r w:rsidRPr="0009662D">
              <w:rPr>
                <w:color w:val="000000"/>
                <w:sz w:val="16"/>
                <w:szCs w:val="16"/>
              </w:rPr>
              <w:t>Utworzenie placu zabaw w Siernikach</w:t>
            </w:r>
            <w:r>
              <w:rPr>
                <w:color w:val="000000"/>
                <w:sz w:val="16"/>
                <w:szCs w:val="16"/>
              </w:rPr>
              <w:t>”.</w:t>
            </w:r>
          </w:p>
        </w:tc>
      </w:tr>
      <w:tr w:rsidR="00F32139" w:rsidRPr="0018237F" w14:paraId="336EEAE3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EC7F3" w14:textId="0947DD4F" w:rsidR="00F32139" w:rsidRDefault="00F32139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0AAF9" w14:textId="3E4C977B" w:rsidR="00F32139" w:rsidRDefault="00F32139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92695, par. 4270</w:t>
            </w:r>
          </w:p>
          <w:p w14:paraId="5652430E" w14:textId="1EAEC7D1" w:rsidR="00F32139" w:rsidRDefault="00F32139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92695, par. 4210</w:t>
            </w:r>
          </w:p>
          <w:p w14:paraId="3234635C" w14:textId="735BD35C" w:rsidR="00F32139" w:rsidRDefault="00F32139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01095, par. 4300</w:t>
            </w:r>
          </w:p>
          <w:p w14:paraId="24C85C3F" w14:textId="23650A84" w:rsidR="00F32139" w:rsidRDefault="00F32139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75412, par. 4210</w:t>
            </w:r>
          </w:p>
          <w:p w14:paraId="61C9AA63" w14:textId="49622C82" w:rsidR="00F32139" w:rsidRDefault="00F32139" w:rsidP="003F5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3AA99" w14:textId="77777777" w:rsidR="00F32139" w:rsidRDefault="00F32139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+500,00</w:t>
            </w:r>
          </w:p>
          <w:p w14:paraId="15BA8C76" w14:textId="77777777" w:rsidR="00F32139" w:rsidRDefault="00F32139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+1 500,00</w:t>
            </w:r>
          </w:p>
          <w:p w14:paraId="5BC5154C" w14:textId="77777777" w:rsidR="00F32139" w:rsidRDefault="00F32139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-1 500,00</w:t>
            </w:r>
          </w:p>
          <w:p w14:paraId="109A9493" w14:textId="5E9D9211" w:rsidR="00F32139" w:rsidRDefault="00F32139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428181" w14:textId="4EEDB2A6" w:rsidR="00F32139" w:rsidRDefault="00F32139" w:rsidP="0043310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Przesunięcie środków w ramach funduszu sołeckiego wsi Srocko Wielkie – naprawa i części do kosiarki na plac sportowy.</w:t>
            </w:r>
          </w:p>
        </w:tc>
      </w:tr>
      <w:tr w:rsidR="000D5DEB" w:rsidRPr="0018237F" w14:paraId="144D4D85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E695F2" w14:textId="21D4D4CB" w:rsidR="000D5DEB" w:rsidRDefault="000D5DEB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132D12" w14:textId="2776A204" w:rsidR="000D5DEB" w:rsidRDefault="000D5DEB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90026, par. 2710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B4E24F" w14:textId="7F310C14" w:rsidR="000D5DEB" w:rsidRDefault="000D5DEB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+10 000,00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AB136" w14:textId="683D5A68" w:rsidR="000D5DEB" w:rsidRPr="000D5DEB" w:rsidRDefault="000D5DEB" w:rsidP="0043310D">
            <w:pPr>
              <w:jc w:val="both"/>
              <w:rPr>
                <w:color w:val="000000"/>
                <w:sz w:val="16"/>
                <w:szCs w:val="16"/>
              </w:rPr>
            </w:pPr>
            <w:r w:rsidRPr="000D5DEB">
              <w:rPr>
                <w:sz w:val="16"/>
                <w:szCs w:val="16"/>
              </w:rPr>
              <w:t>Zwiększenie planu wydatków na pomoc finansową w formie dotacji celowej dla Powiatu Kościańskiego na likwidację azbestu.</w:t>
            </w:r>
          </w:p>
        </w:tc>
      </w:tr>
      <w:tr w:rsidR="000D5DEB" w:rsidRPr="0018237F" w14:paraId="62998599" w14:textId="77777777" w:rsidTr="0043310D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EA02C" w14:textId="1C9891C4" w:rsidR="000D5DEB" w:rsidRDefault="000D5DEB" w:rsidP="003F5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B36D7D" w14:textId="4A39B1F8" w:rsidR="000D5DEB" w:rsidRDefault="000D5DEB" w:rsidP="003F5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60016, par. 4300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C130A" w14:textId="5A6AF4AF" w:rsidR="000D5DEB" w:rsidRDefault="000D5DEB" w:rsidP="003F54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+100 000,00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F351E6" w14:textId="1221CD38" w:rsidR="000D5DEB" w:rsidRPr="000D5DEB" w:rsidRDefault="000D5DEB" w:rsidP="004331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bieżące utrzymanie dr</w:t>
            </w:r>
            <w:r w:rsidR="00A14A1A"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g – utwardzenie tłuczniem.</w:t>
            </w:r>
          </w:p>
        </w:tc>
      </w:tr>
    </w:tbl>
    <w:p w14:paraId="79737381" w14:textId="77777777" w:rsidR="0010410E" w:rsidRDefault="0010410E" w:rsidP="0010410E">
      <w:pPr>
        <w:jc w:val="both"/>
        <w:rPr>
          <w:sz w:val="20"/>
          <w:szCs w:val="20"/>
        </w:rPr>
      </w:pPr>
    </w:p>
    <w:p w14:paraId="5D232761" w14:textId="06A9278A" w:rsidR="0010410E" w:rsidRPr="0010410E" w:rsidRDefault="0010410E" w:rsidP="0010410E">
      <w:pPr>
        <w:jc w:val="both"/>
        <w:rPr>
          <w:sz w:val="22"/>
          <w:szCs w:val="22"/>
        </w:rPr>
      </w:pPr>
      <w:r w:rsidRPr="0010410E">
        <w:rPr>
          <w:sz w:val="22"/>
          <w:szCs w:val="22"/>
        </w:rPr>
        <w:t xml:space="preserve">W planie przychodów zwiększa się zaangażowanie z tytułu wolnych środków o kwotę </w:t>
      </w:r>
      <w:r w:rsidR="000769CA">
        <w:rPr>
          <w:sz w:val="22"/>
          <w:szCs w:val="22"/>
        </w:rPr>
        <w:t>418.139</w:t>
      </w:r>
      <w:r w:rsidR="00A125CC">
        <w:rPr>
          <w:sz w:val="22"/>
          <w:szCs w:val="22"/>
        </w:rPr>
        <w:t>,16</w:t>
      </w:r>
      <w:r w:rsidRPr="0010410E">
        <w:rPr>
          <w:sz w:val="22"/>
          <w:szCs w:val="22"/>
        </w:rPr>
        <w:t xml:space="preserve"> zł oraz zwiększa się przychody z niewykorzystanych środków pieniężnych na rachunku bieżącym budżetu, wynikającym z rozliczenia dochodów i wydatków nimi finansowanych związanych ze szczególnymi zasadami wykonywania budżetu określonymi w odrębnych ustawach o kwotę 2.611.759,35 zł (z tego ze środków RFIL wykonanych w 2020 roku kwota 2.550.000,00 z</w:t>
      </w:r>
      <w:r w:rsidR="004658B7">
        <w:rPr>
          <w:sz w:val="22"/>
          <w:szCs w:val="22"/>
        </w:rPr>
        <w:t>ł</w:t>
      </w:r>
      <w:r w:rsidRPr="0010410E">
        <w:rPr>
          <w:sz w:val="22"/>
          <w:szCs w:val="22"/>
        </w:rPr>
        <w:t xml:space="preserve"> oraz z zezwoleń na sprzedaż napojów alkoholowych i niewykonanych w tym zakresie wydatków w roku 2020 kwota 61.759,35 zł).</w:t>
      </w:r>
    </w:p>
    <w:p w14:paraId="46333600" w14:textId="77777777" w:rsidR="006E70BD" w:rsidRPr="000C1BF7" w:rsidRDefault="006E70BD" w:rsidP="0010410E">
      <w:pPr>
        <w:jc w:val="both"/>
        <w:rPr>
          <w:sz w:val="22"/>
          <w:szCs w:val="22"/>
        </w:rPr>
      </w:pPr>
      <w:r w:rsidRPr="000C1BF7">
        <w:rPr>
          <w:sz w:val="22"/>
          <w:szCs w:val="22"/>
        </w:rPr>
        <w:t>Aktualizuje się też załączniki:</w:t>
      </w:r>
    </w:p>
    <w:p w14:paraId="35AB6B41" w14:textId="166055C9" w:rsidR="006E70BD" w:rsidRPr="000C1BF7" w:rsidRDefault="006E70BD" w:rsidP="0010410E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1BF7">
        <w:rPr>
          <w:sz w:val="22"/>
          <w:szCs w:val="22"/>
        </w:rPr>
        <w:t>Załącznik wydatków majątkowych na 202</w:t>
      </w:r>
      <w:r w:rsidR="00941583">
        <w:rPr>
          <w:sz w:val="22"/>
          <w:szCs w:val="22"/>
        </w:rPr>
        <w:t>1</w:t>
      </w:r>
      <w:r w:rsidRPr="000C1BF7">
        <w:rPr>
          <w:sz w:val="22"/>
          <w:szCs w:val="22"/>
        </w:rPr>
        <w:t xml:space="preserve"> rok.</w:t>
      </w:r>
    </w:p>
    <w:p w14:paraId="0C3E5A82" w14:textId="17EA68D4" w:rsidR="006E70BD" w:rsidRDefault="006E70BD" w:rsidP="0010410E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1BF7">
        <w:rPr>
          <w:sz w:val="22"/>
          <w:szCs w:val="22"/>
        </w:rPr>
        <w:t>Załącznik przychodów i rozchodów Gminy na 202</w:t>
      </w:r>
      <w:r w:rsidR="00941583">
        <w:rPr>
          <w:sz w:val="22"/>
          <w:szCs w:val="22"/>
        </w:rPr>
        <w:t>1</w:t>
      </w:r>
      <w:r w:rsidRPr="000C1BF7">
        <w:rPr>
          <w:sz w:val="22"/>
          <w:szCs w:val="22"/>
        </w:rPr>
        <w:t xml:space="preserve"> rok.</w:t>
      </w:r>
    </w:p>
    <w:p w14:paraId="16C451BA" w14:textId="4A18DE00" w:rsidR="00555414" w:rsidRPr="00555414" w:rsidRDefault="00555414" w:rsidP="0010410E">
      <w:pPr>
        <w:pStyle w:val="Akapitzlist"/>
        <w:numPr>
          <w:ilvl w:val="0"/>
          <w:numId w:val="3"/>
        </w:numPr>
        <w:ind w:left="142" w:hanging="142"/>
        <w:jc w:val="both"/>
      </w:pPr>
      <w:r w:rsidRPr="00555414">
        <w:rPr>
          <w:sz w:val="22"/>
          <w:szCs w:val="22"/>
        </w:rPr>
        <w:lastRenderedPageBreak/>
        <w:t xml:space="preserve">Plan dochodów i wydatków </w:t>
      </w:r>
      <w:r w:rsidRPr="00840190">
        <w:t>związan</w:t>
      </w:r>
      <w:r>
        <w:t>ych</w:t>
      </w:r>
      <w:r w:rsidRPr="00840190">
        <w:t xml:space="preserve"> z realizacją zadań bieżących z zakresu administracji rządowej oraz innych zadań zleconych gminie ustawami</w:t>
      </w:r>
      <w:r>
        <w:t>.</w:t>
      </w:r>
    </w:p>
    <w:p w14:paraId="75B33335" w14:textId="1154A6BA" w:rsidR="00941583" w:rsidRDefault="00941583" w:rsidP="0010410E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w 2021 roku.</w:t>
      </w:r>
    </w:p>
    <w:p w14:paraId="0846E8BD" w14:textId="76B71D90" w:rsidR="006E70BD" w:rsidRDefault="0010410E" w:rsidP="0010410E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10410E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 w:rsidR="006E70BD">
        <w:rPr>
          <w:sz w:val="22"/>
          <w:szCs w:val="22"/>
        </w:rPr>
        <w:t>.</w:t>
      </w:r>
    </w:p>
    <w:p w14:paraId="773729EE" w14:textId="5D28D24B" w:rsidR="000C1297" w:rsidRDefault="00BE1F62" w:rsidP="00B11DAA">
      <w:pPr>
        <w:numPr>
          <w:ilvl w:val="0"/>
          <w:numId w:val="3"/>
        </w:numPr>
        <w:ind w:left="142" w:hanging="142"/>
        <w:jc w:val="both"/>
      </w:pPr>
      <w:r w:rsidRPr="00BE1F62">
        <w:rPr>
          <w:sz w:val="22"/>
          <w:szCs w:val="22"/>
        </w:rPr>
        <w:t>Zestawienie środków sołeckich na 2021 rok.</w:t>
      </w:r>
    </w:p>
    <w:sectPr w:rsidR="000C1297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69CA"/>
    <w:rsid w:val="00080E93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5774"/>
    <w:rsid w:val="000C0187"/>
    <w:rsid w:val="000C1297"/>
    <w:rsid w:val="000C1BF7"/>
    <w:rsid w:val="000C415E"/>
    <w:rsid w:val="000C4D76"/>
    <w:rsid w:val="000C4DA2"/>
    <w:rsid w:val="000C5DD7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410E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ECD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D60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6160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01D4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020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4E0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58B7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07EF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4150"/>
    <w:rsid w:val="006E70BD"/>
    <w:rsid w:val="006F1829"/>
    <w:rsid w:val="006F58B7"/>
    <w:rsid w:val="006F6F5A"/>
    <w:rsid w:val="00703194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FC3"/>
    <w:rsid w:val="009323E9"/>
    <w:rsid w:val="00933037"/>
    <w:rsid w:val="00933CEB"/>
    <w:rsid w:val="00936D26"/>
    <w:rsid w:val="00941583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25CC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3B8A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1F62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5E54"/>
    <w:rsid w:val="00DB649E"/>
    <w:rsid w:val="00DB7660"/>
    <w:rsid w:val="00DC07D0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8384A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60E7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B6E"/>
    <w:rsid w:val="00F01D5A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6</Pages>
  <Words>2139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14948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175</cp:revision>
  <cp:lastPrinted>2021-03-23T08:15:00Z</cp:lastPrinted>
  <dcterms:created xsi:type="dcterms:W3CDTF">2020-01-13T13:28:00Z</dcterms:created>
  <dcterms:modified xsi:type="dcterms:W3CDTF">2021-03-23T10:48:00Z</dcterms:modified>
</cp:coreProperties>
</file>